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0A7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第二师铁门关市住房和城乡建设局</w:t>
      </w:r>
    </w:p>
    <w:p w14:paraId="3519F2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关于公开征求《铁门关市市政公用基础设施配套费征收使用管理实施细则》（公开征求意见稿）公众意见的公告</w:t>
      </w:r>
    </w:p>
    <w:p w14:paraId="530EF0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kern w:val="2"/>
          <w:sz w:val="32"/>
          <w:szCs w:val="32"/>
          <w:lang w:eastAsia="zh-CN" w:bidi="ar"/>
        </w:rPr>
      </w:pPr>
    </w:p>
    <w:p w14:paraId="7C2D2B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为进一步加快城市基础设施建设，改善城市投资环境和生活环境，提高城市综合建设布局方案服务水平，根据《新疆维吾尔自治区城市市政公用基础设施配套费征收使用管理办法》（新政办发〔2020〕14号）</w:t>
      </w:r>
      <w:r>
        <w:rPr>
          <w:rFonts w:hint="eastAsia" w:ascii="宋体" w:hAnsi="宋体" w:eastAsia="方正仿宋简体" w:cs="方正仿宋简体"/>
          <w:kern w:val="2"/>
          <w:sz w:val="32"/>
          <w:szCs w:val="32"/>
          <w:lang w:val="en-US" w:eastAsia="zh-CN" w:bidi="ar"/>
        </w:rPr>
        <w:t>文件要求</w:t>
      </w:r>
      <w:r>
        <w:rPr>
          <w:rFonts w:hint="eastAsia" w:ascii="宋体" w:hAnsi="宋体" w:eastAsia="方正仿宋简体" w:cs="方正仿宋简体"/>
          <w:kern w:val="2"/>
          <w:sz w:val="32"/>
          <w:szCs w:val="32"/>
          <w:lang w:eastAsia="zh-CN" w:bidi="ar"/>
        </w:rPr>
        <w:t>，结合铁门关市工作实际，第二师铁门关市住建局制定了《铁门关市市政公用基础设施配套费征收使用管理实施细则》（公开征求意见稿），现征求社会公众意见和建议。</w:t>
      </w:r>
    </w:p>
    <w:p w14:paraId="3D43C9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方正仿宋简体"/>
          <w:kern w:val="2"/>
          <w:sz w:val="32"/>
          <w:szCs w:val="32"/>
          <w:lang w:eastAsia="zh-CN" w:bidi="ar"/>
        </w:rPr>
      </w:pPr>
      <w:r>
        <w:rPr>
          <w:rFonts w:hint="default" w:ascii="宋体" w:hAnsi="宋体" w:eastAsia="方正仿宋简体" w:cs="方正仿宋简体"/>
          <w:kern w:val="2"/>
          <w:sz w:val="32"/>
          <w:szCs w:val="32"/>
          <w:lang w:val="en-US" w:eastAsia="zh-CN" w:bidi="ar"/>
        </w:rPr>
        <w:t>一、征求意见时间：202</w:t>
      </w:r>
      <w:r>
        <w:rPr>
          <w:rFonts w:hint="eastAsia" w:ascii="宋体" w:hAnsi="宋体" w:eastAsia="方正仿宋简体" w:cs="方正仿宋简体"/>
          <w:kern w:val="2"/>
          <w:sz w:val="32"/>
          <w:szCs w:val="32"/>
          <w:lang w:val="en-US" w:eastAsia="zh-CN" w:bidi="ar"/>
        </w:rPr>
        <w:t>5</w:t>
      </w:r>
      <w:r>
        <w:rPr>
          <w:rFonts w:hint="default" w:ascii="宋体" w:hAnsi="宋体" w:eastAsia="方正仿宋简体" w:cs="方正仿宋简体"/>
          <w:kern w:val="2"/>
          <w:sz w:val="32"/>
          <w:szCs w:val="32"/>
          <w:lang w:val="en-US" w:eastAsia="zh-CN" w:bidi="ar"/>
        </w:rPr>
        <w:t>年</w:t>
      </w:r>
      <w:r>
        <w:rPr>
          <w:rFonts w:hint="eastAsia" w:ascii="宋体" w:hAnsi="宋体" w:eastAsia="方正仿宋简体" w:cs="方正仿宋简体"/>
          <w:kern w:val="2"/>
          <w:sz w:val="32"/>
          <w:szCs w:val="32"/>
          <w:lang w:val="en-US" w:eastAsia="zh-CN" w:bidi="ar"/>
        </w:rPr>
        <w:t>9</w:t>
      </w:r>
      <w:r>
        <w:rPr>
          <w:rFonts w:hint="default" w:ascii="宋体" w:hAnsi="宋体" w:eastAsia="方正仿宋简体" w:cs="方正仿宋简体"/>
          <w:kern w:val="2"/>
          <w:sz w:val="32"/>
          <w:szCs w:val="32"/>
          <w:lang w:val="en-US" w:eastAsia="zh-CN" w:bidi="ar"/>
        </w:rPr>
        <w:t>月</w:t>
      </w:r>
      <w:r>
        <w:rPr>
          <w:rFonts w:hint="eastAsia" w:ascii="宋体" w:hAnsi="宋体" w:eastAsia="方正仿宋简体" w:cs="方正仿宋简体"/>
          <w:kern w:val="2"/>
          <w:sz w:val="32"/>
          <w:szCs w:val="32"/>
          <w:lang w:val="en-US" w:eastAsia="zh-CN" w:bidi="ar"/>
        </w:rPr>
        <w:t>9</w:t>
      </w:r>
      <w:r>
        <w:rPr>
          <w:rFonts w:hint="default" w:ascii="宋体" w:hAnsi="宋体" w:eastAsia="方正仿宋简体" w:cs="方正仿宋简体"/>
          <w:kern w:val="2"/>
          <w:sz w:val="32"/>
          <w:szCs w:val="32"/>
          <w:lang w:val="en-US" w:eastAsia="zh-CN" w:bidi="ar"/>
        </w:rPr>
        <w:t>日至202</w:t>
      </w:r>
      <w:r>
        <w:rPr>
          <w:rFonts w:hint="eastAsia" w:ascii="宋体" w:hAnsi="宋体" w:eastAsia="方正仿宋简体" w:cs="方正仿宋简体"/>
          <w:kern w:val="2"/>
          <w:sz w:val="32"/>
          <w:szCs w:val="32"/>
          <w:lang w:val="en-US" w:eastAsia="zh-CN" w:bidi="ar"/>
        </w:rPr>
        <w:t>5</w:t>
      </w:r>
      <w:r>
        <w:rPr>
          <w:rFonts w:hint="default" w:ascii="宋体" w:hAnsi="宋体" w:eastAsia="方正仿宋简体" w:cs="方正仿宋简体"/>
          <w:kern w:val="2"/>
          <w:sz w:val="32"/>
          <w:szCs w:val="32"/>
          <w:lang w:val="en-US" w:eastAsia="zh-CN" w:bidi="ar"/>
        </w:rPr>
        <w:t>年</w:t>
      </w:r>
      <w:r>
        <w:rPr>
          <w:rFonts w:hint="eastAsia" w:ascii="宋体" w:hAnsi="宋体" w:eastAsia="方正仿宋简体" w:cs="方正仿宋简体"/>
          <w:kern w:val="2"/>
          <w:sz w:val="32"/>
          <w:szCs w:val="32"/>
          <w:lang w:val="en-US" w:eastAsia="zh-CN" w:bidi="ar"/>
        </w:rPr>
        <w:t>10</w:t>
      </w:r>
      <w:r>
        <w:rPr>
          <w:rFonts w:hint="default" w:ascii="宋体" w:hAnsi="宋体" w:eastAsia="方正仿宋简体" w:cs="方正仿宋简体"/>
          <w:kern w:val="2"/>
          <w:sz w:val="32"/>
          <w:szCs w:val="32"/>
          <w:lang w:val="en-US" w:eastAsia="zh-CN" w:bidi="ar"/>
        </w:rPr>
        <w:t>月</w:t>
      </w:r>
      <w:r>
        <w:rPr>
          <w:rFonts w:hint="eastAsia" w:ascii="宋体" w:hAnsi="宋体" w:eastAsia="方正仿宋简体" w:cs="方正仿宋简体"/>
          <w:kern w:val="2"/>
          <w:sz w:val="32"/>
          <w:szCs w:val="32"/>
          <w:lang w:val="en-US" w:eastAsia="zh-CN" w:bidi="ar"/>
        </w:rPr>
        <w:t>8</w:t>
      </w:r>
      <w:r>
        <w:rPr>
          <w:rFonts w:hint="default" w:ascii="宋体" w:hAnsi="宋体" w:eastAsia="方正仿宋简体" w:cs="方正仿宋简体"/>
          <w:kern w:val="2"/>
          <w:sz w:val="32"/>
          <w:szCs w:val="32"/>
          <w:lang w:val="en-US" w:eastAsia="zh-CN" w:bidi="ar"/>
        </w:rPr>
        <w:t>日（共30日）。</w:t>
      </w:r>
    </w:p>
    <w:p w14:paraId="3FAC1F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方正仿宋简体" w:cs="方正仿宋简体"/>
          <w:kern w:val="2"/>
          <w:sz w:val="32"/>
          <w:szCs w:val="32"/>
          <w:lang w:eastAsia="zh-CN" w:bidi="ar"/>
        </w:rPr>
      </w:pPr>
      <w:r>
        <w:rPr>
          <w:rFonts w:hint="default" w:ascii="宋体" w:hAnsi="宋体" w:eastAsia="方正仿宋简体" w:cs="方正仿宋简体"/>
          <w:kern w:val="2"/>
          <w:sz w:val="32"/>
          <w:szCs w:val="32"/>
          <w:lang w:val="en-US" w:eastAsia="zh-CN" w:bidi="ar"/>
        </w:rPr>
        <w:t>二、公众获取征求意见稿全文的途径：点击文本附件阅读或下载。</w:t>
      </w:r>
    </w:p>
    <w:p w14:paraId="0B88D8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方正仿宋简体" w:cs="方正仿宋简体"/>
          <w:kern w:val="2"/>
          <w:sz w:val="32"/>
          <w:szCs w:val="32"/>
          <w:lang w:eastAsia="zh-CN" w:bidi="ar"/>
        </w:rPr>
      </w:pPr>
      <w:r>
        <w:rPr>
          <w:rFonts w:hint="default" w:ascii="宋体" w:hAnsi="宋体" w:eastAsia="方正仿宋简体" w:cs="方正仿宋简体"/>
          <w:kern w:val="2"/>
          <w:sz w:val="32"/>
          <w:szCs w:val="32"/>
          <w:lang w:val="en-US" w:eastAsia="zh-CN" w:bidi="ar"/>
        </w:rPr>
        <w:t>三、公众提交意见的途径：可将相关意见和建议通过发送电子邮件到邮箱</w:t>
      </w:r>
      <w:r>
        <w:rPr>
          <w:rFonts w:hint="eastAsia" w:ascii="宋体" w:hAnsi="宋体" w:eastAsia="方正仿宋简体" w:cs="方正仿宋简体"/>
          <w:kern w:val="2"/>
          <w:sz w:val="32"/>
          <w:szCs w:val="32"/>
          <w:lang w:val="en-US" w:eastAsia="zh-CN" w:bidi="ar"/>
        </w:rPr>
        <w:t>deszjjjgk</w:t>
      </w:r>
      <w:r>
        <w:rPr>
          <w:rFonts w:hint="default" w:ascii="宋体" w:hAnsi="宋体" w:eastAsia="方正仿宋简体" w:cs="方正仿宋简体"/>
          <w:kern w:val="2"/>
          <w:sz w:val="32"/>
          <w:szCs w:val="32"/>
          <w:lang w:val="en-US" w:eastAsia="zh-CN" w:bidi="ar"/>
        </w:rPr>
        <w:t>@163.com。</w:t>
      </w:r>
    </w:p>
    <w:p w14:paraId="3A428B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方正仿宋简体" w:cs="方正仿宋简体"/>
          <w:kern w:val="2"/>
          <w:sz w:val="32"/>
          <w:szCs w:val="32"/>
          <w:lang w:eastAsia="zh-CN" w:bidi="ar"/>
        </w:rPr>
      </w:pPr>
      <w:r>
        <w:rPr>
          <w:rFonts w:hint="default" w:ascii="宋体" w:hAnsi="宋体" w:eastAsia="方正仿宋简体" w:cs="方正仿宋简体"/>
          <w:kern w:val="2"/>
          <w:sz w:val="32"/>
          <w:szCs w:val="32"/>
          <w:lang w:val="en-US" w:eastAsia="zh-CN" w:bidi="ar"/>
        </w:rPr>
        <w:t>特此公告。</w:t>
      </w:r>
    </w:p>
    <w:p w14:paraId="22A7F1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 </w:t>
      </w:r>
    </w:p>
    <w:p w14:paraId="5EE1E2AA">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left"/>
        <w:textAlignment w:val="auto"/>
        <w:rPr>
          <w:rFonts w:hint="default" w:ascii="宋体" w:hAnsi="宋体" w:eastAsia="方正仿宋简体" w:cs="方正仿宋简体"/>
          <w:kern w:val="2"/>
          <w:sz w:val="32"/>
          <w:szCs w:val="32"/>
          <w:lang w:val="en-US" w:eastAsia="zh-CN" w:bidi="ar"/>
        </w:rPr>
      </w:pPr>
      <w:r>
        <w:rPr>
          <w:rFonts w:hint="default" w:ascii="宋体" w:hAnsi="宋体" w:eastAsia="方正仿宋简体" w:cs="方正仿宋简体"/>
          <w:kern w:val="2"/>
          <w:sz w:val="32"/>
          <w:szCs w:val="32"/>
          <w:lang w:val="en-US" w:eastAsia="zh-CN" w:bidi="ar"/>
        </w:rPr>
        <w:t>附件：《</w:t>
      </w:r>
      <w:r>
        <w:rPr>
          <w:rFonts w:hint="eastAsia" w:ascii="宋体" w:hAnsi="宋体" w:eastAsia="方正仿宋简体" w:cs="方正仿宋简体"/>
          <w:kern w:val="2"/>
          <w:sz w:val="32"/>
          <w:szCs w:val="32"/>
          <w:lang w:eastAsia="zh-CN" w:bidi="ar"/>
        </w:rPr>
        <w:t>铁门关市市政公用基础设施配套费征收使用管理实施细则</w:t>
      </w:r>
      <w:r>
        <w:rPr>
          <w:rFonts w:hint="default" w:ascii="宋体" w:hAnsi="宋体" w:eastAsia="方正仿宋简体" w:cs="方正仿宋简体"/>
          <w:kern w:val="2"/>
          <w:sz w:val="32"/>
          <w:szCs w:val="32"/>
          <w:lang w:val="en-US" w:eastAsia="zh-CN" w:bidi="ar"/>
        </w:rPr>
        <w:t>》（公开征求意见稿）</w:t>
      </w:r>
    </w:p>
    <w:p w14:paraId="7E04F3F1">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left"/>
        <w:textAlignment w:val="auto"/>
        <w:rPr>
          <w:rFonts w:hint="default" w:ascii="宋体" w:hAnsi="宋体" w:eastAsia="方正仿宋简体" w:cs="方正仿宋简体"/>
          <w:kern w:val="2"/>
          <w:sz w:val="32"/>
          <w:szCs w:val="32"/>
          <w:lang w:val="en-US" w:eastAsia="zh-CN" w:bidi="ar"/>
        </w:rPr>
      </w:pPr>
    </w:p>
    <w:p w14:paraId="78A06940">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left"/>
        <w:textAlignment w:val="auto"/>
        <w:rPr>
          <w:rFonts w:hint="default" w:ascii="宋体" w:hAnsi="宋体" w:eastAsia="方正仿宋简体" w:cs="方正仿宋简体"/>
          <w:kern w:val="2"/>
          <w:sz w:val="32"/>
          <w:szCs w:val="32"/>
          <w:lang w:val="en-US" w:eastAsia="zh-CN" w:bidi="ar"/>
        </w:rPr>
      </w:pPr>
    </w:p>
    <w:p w14:paraId="7E3A48B8">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left"/>
        <w:textAlignment w:val="auto"/>
        <w:rPr>
          <w:rFonts w:hint="default" w:ascii="宋体" w:hAnsi="宋体" w:eastAsia="方正仿宋简体" w:cs="方正仿宋简体"/>
          <w:kern w:val="2"/>
          <w:sz w:val="32"/>
          <w:szCs w:val="32"/>
          <w:lang w:val="en-US" w:eastAsia="zh-CN" w:bidi="ar"/>
        </w:rPr>
      </w:pPr>
    </w:p>
    <w:p w14:paraId="7E52F82C">
      <w:pPr>
        <w:spacing w:line="560" w:lineRule="exact"/>
        <w:jc w:val="center"/>
      </w:pPr>
    </w:p>
    <w:p w14:paraId="5007A818">
      <w:pPr>
        <w:widowControl w:val="0"/>
        <w:kinsoku/>
        <w:autoSpaceDE/>
        <w:autoSpaceDN/>
        <w:adjustRightInd/>
        <w:snapToGrid/>
        <w:spacing w:line="560" w:lineRule="exact"/>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铁门关市市政公用基础设施配套费</w:t>
      </w:r>
    </w:p>
    <w:p w14:paraId="51F4C9F8">
      <w:pPr>
        <w:widowControl w:val="0"/>
        <w:kinsoku/>
        <w:autoSpaceDE/>
        <w:autoSpaceDN/>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征收使用管理实施细则</w:t>
      </w:r>
    </w:p>
    <w:p w14:paraId="50C88127">
      <w:pPr>
        <w:widowControl w:val="0"/>
        <w:kinsoku/>
        <w:autoSpaceDE/>
        <w:autoSpaceDN/>
        <w:adjustRightInd/>
        <w:snapToGrid/>
        <w:spacing w:line="560" w:lineRule="exact"/>
        <w:jc w:val="center"/>
        <w:textAlignment w:val="auto"/>
        <w:rPr>
          <w:rFonts w:ascii="微软雅黑" w:hAnsi="微软雅黑" w:eastAsia="微软雅黑" w:cs="微软雅黑"/>
          <w:sz w:val="44"/>
          <w:szCs w:val="44"/>
          <w:lang w:eastAsia="zh-CN"/>
        </w:rPr>
      </w:pPr>
      <w:r>
        <w:rPr>
          <w:rFonts w:hint="eastAsia" w:ascii="方正小标宋简体" w:hAnsi="方正小标宋简体" w:eastAsia="方正小标宋简体" w:cs="方正小标宋简体"/>
          <w:sz w:val="44"/>
          <w:szCs w:val="44"/>
          <w:lang w:eastAsia="zh-CN"/>
        </w:rPr>
        <w:t>（公开征求意见稿）</w:t>
      </w:r>
    </w:p>
    <w:p w14:paraId="370F863E">
      <w:pPr>
        <w:widowControl w:val="0"/>
        <w:kinsoku/>
        <w:autoSpaceDE/>
        <w:autoSpaceDN/>
        <w:adjustRightInd/>
        <w:snapToGrid/>
        <w:spacing w:line="560" w:lineRule="exact"/>
        <w:jc w:val="both"/>
        <w:textAlignment w:val="auto"/>
        <w:rPr>
          <w:rFonts w:ascii="微软雅黑" w:hAnsi="微软雅黑" w:eastAsia="微软雅黑" w:cs="微软雅黑"/>
          <w:sz w:val="44"/>
          <w:szCs w:val="44"/>
          <w:lang w:eastAsia="zh-CN"/>
        </w:rPr>
      </w:pPr>
    </w:p>
    <w:p w14:paraId="699DC087">
      <w:pPr>
        <w:widowControl w:val="0"/>
        <w:kinsoku/>
        <w:autoSpaceDE/>
        <w:autoSpaceDN/>
        <w:adjustRightInd/>
        <w:snapToGrid/>
        <w:spacing w:line="600" w:lineRule="exact"/>
        <w:ind w:firstLine="640" w:firstLineChars="200"/>
        <w:jc w:val="both"/>
        <w:textAlignment w:val="auto"/>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为进一步加快城市基础设施建设，改善城市投资环境和生活环境，提高城市综合建设布局方案服务水平，根据《新疆维吾尔自治区城市市政公用基础设施配套费征收使用管理办法》（新政办发〔2020〕14号）精神，参照《巴音郭楞蒙古自治州城市市政公用基础设施配套费征收使用管理实施细则》（巴建规〔2024〕1号），结合辖区实际，制定本实施细则。</w:t>
      </w:r>
    </w:p>
    <w:p w14:paraId="63EFEA3C">
      <w:pPr>
        <w:widowControl w:val="0"/>
        <w:kinsoku/>
        <w:autoSpaceDE/>
        <w:autoSpaceDN/>
        <w:adjustRightInd/>
        <w:snapToGrid/>
        <w:spacing w:line="600" w:lineRule="exact"/>
        <w:ind w:firstLine="640" w:firstLineChars="200"/>
        <w:jc w:val="both"/>
        <w:textAlignment w:val="auto"/>
        <w:rPr>
          <w:rFonts w:ascii="宋体" w:hAnsi="宋体" w:eastAsia="方正仿宋简体" w:cs="方正仿宋简体"/>
          <w:kern w:val="2"/>
          <w:sz w:val="32"/>
          <w:szCs w:val="32"/>
          <w:lang w:eastAsia="zh-CN" w:bidi="ar"/>
        </w:rPr>
      </w:pPr>
      <w:r>
        <w:rPr>
          <w:rFonts w:hint="eastAsia" w:ascii="黑体" w:hAnsi="黑体" w:eastAsia="黑体" w:cs="仿宋"/>
          <w:snapToGrid/>
          <w:sz w:val="32"/>
          <w:szCs w:val="32"/>
          <w:lang w:eastAsia="zh-CN"/>
        </w:rPr>
        <w:t xml:space="preserve">第一条 </w:t>
      </w:r>
      <w:r>
        <w:rPr>
          <w:rFonts w:hint="eastAsia" w:ascii="宋体" w:hAnsi="宋体" w:eastAsia="方正仿宋简体" w:cs="方正仿宋简体"/>
          <w:kern w:val="2"/>
          <w:sz w:val="32"/>
          <w:szCs w:val="32"/>
          <w:lang w:eastAsia="zh-CN" w:bidi="ar"/>
        </w:rPr>
        <w:t>凡在铁门关市（含建制镇）城镇开发边界范围内进行工业、民用、公共建筑等项目建设的单位和个人，均应缴纳城市市政公用基础设施配套费（以下简称“配套费”）。</w:t>
      </w:r>
    </w:p>
    <w:p w14:paraId="05F9EEEB">
      <w:pPr>
        <w:widowControl w:val="0"/>
        <w:kinsoku/>
        <w:autoSpaceDE/>
        <w:autoSpaceDN/>
        <w:adjustRightInd/>
        <w:snapToGrid/>
        <w:spacing w:line="600" w:lineRule="exact"/>
        <w:ind w:firstLine="640" w:firstLineChars="200"/>
        <w:jc w:val="both"/>
        <w:textAlignment w:val="auto"/>
        <w:rPr>
          <w:rFonts w:ascii="宋体" w:hAnsi="宋体" w:eastAsia="方正仿宋简体" w:cs="方正仿宋简体"/>
          <w:kern w:val="2"/>
          <w:sz w:val="32"/>
          <w:szCs w:val="32"/>
          <w:lang w:eastAsia="zh-CN" w:bidi="ar"/>
        </w:rPr>
      </w:pPr>
      <w:r>
        <w:rPr>
          <w:rFonts w:hint="eastAsia" w:ascii="黑体" w:hAnsi="黑体" w:eastAsia="黑体" w:cs="仿宋"/>
          <w:snapToGrid/>
          <w:sz w:val="32"/>
          <w:szCs w:val="32"/>
          <w:lang w:eastAsia="zh-CN"/>
        </w:rPr>
        <w:t>第二条</w:t>
      </w:r>
      <w:r>
        <w:rPr>
          <w:rFonts w:hint="eastAsia" w:ascii="宋体" w:hAnsi="宋体" w:eastAsia="方正仿宋简体" w:cs="方正仿宋简体"/>
          <w:kern w:val="2"/>
          <w:sz w:val="32"/>
          <w:szCs w:val="32"/>
          <w:lang w:eastAsia="zh-CN" w:bidi="ar"/>
        </w:rPr>
        <w:t xml:space="preserve"> 配套费专项用于城市市政工程和城市公用事业建设与维护，包括城市道路、桥梁、给排水、污水处理、园林绿化、路灯、环境卫生、公共交通、燃气、集中供热等。</w:t>
      </w:r>
    </w:p>
    <w:p w14:paraId="604F6F28">
      <w:pPr>
        <w:spacing w:line="600" w:lineRule="exact"/>
        <w:ind w:firstLine="640" w:firstLineChars="200"/>
        <w:jc w:val="both"/>
        <w:rPr>
          <w:lang w:eastAsia="zh-CN"/>
        </w:rPr>
      </w:pPr>
      <w:r>
        <w:rPr>
          <w:rFonts w:hint="eastAsia" w:ascii="黑体" w:hAnsi="黑体" w:eastAsia="黑体" w:cs="仿宋"/>
          <w:snapToGrid/>
          <w:sz w:val="32"/>
          <w:szCs w:val="32"/>
          <w:lang w:eastAsia="zh-CN"/>
        </w:rPr>
        <w:t xml:space="preserve">第三条 </w:t>
      </w:r>
      <w:r>
        <w:rPr>
          <w:rFonts w:hint="eastAsia" w:ascii="宋体" w:hAnsi="宋体" w:eastAsia="方正仿宋简体" w:cs="方正仿宋简体"/>
          <w:kern w:val="2"/>
          <w:sz w:val="32"/>
          <w:szCs w:val="32"/>
          <w:lang w:eastAsia="zh-CN" w:bidi="ar"/>
        </w:rPr>
        <w:t>配套费按新建、扩建工程总投资的3%收取，工程总投资按每平方征收基数乘以总建筑面积计算，具体标准为：</w:t>
      </w:r>
    </w:p>
    <w:p w14:paraId="62683DCD">
      <w:pPr>
        <w:spacing w:line="246" w:lineRule="auto"/>
        <w:jc w:val="both"/>
        <w:rPr>
          <w:lang w:eastAsia="zh-CN"/>
        </w:rPr>
      </w:pPr>
    </w:p>
    <w:p w14:paraId="5417CD5E">
      <w:pPr>
        <w:spacing w:line="246" w:lineRule="auto"/>
        <w:jc w:val="both"/>
        <w:rPr>
          <w:lang w:eastAsia="zh-CN"/>
        </w:rPr>
      </w:pPr>
    </w:p>
    <w:p w14:paraId="767D6AAE">
      <w:pPr>
        <w:spacing w:line="246" w:lineRule="auto"/>
        <w:jc w:val="both"/>
        <w:rPr>
          <w:lang w:eastAsia="zh-CN"/>
        </w:rPr>
      </w:pPr>
      <w:bookmarkStart w:id="0" w:name="_GoBack"/>
      <w:bookmarkEnd w:id="0"/>
    </w:p>
    <w:p w14:paraId="72E301F1">
      <w:pPr>
        <w:pStyle w:val="2"/>
        <w:spacing w:before="101" w:line="226" w:lineRule="auto"/>
        <w:ind w:firstLine="1280" w:firstLineChars="400"/>
        <w:jc w:val="both"/>
        <w:rPr>
          <w:lang w:eastAsia="zh-CN"/>
        </w:rPr>
      </w:pPr>
      <w:r>
        <w:rPr>
          <w:spacing w:val="5"/>
          <w:lang w:eastAsia="zh-CN"/>
        </w:rPr>
        <w:t>征收基数</w:t>
      </w:r>
      <w:r>
        <w:rPr>
          <w:rFonts w:hint="eastAsia"/>
          <w:spacing w:val="5"/>
          <w:lang w:eastAsia="zh-CN"/>
        </w:rPr>
        <w:t xml:space="preserve">                   </w:t>
      </w:r>
      <w:r>
        <w:rPr>
          <w:spacing w:val="5"/>
          <w:lang w:eastAsia="zh-CN"/>
        </w:rPr>
        <w:t>单位：元/平方米</w:t>
      </w:r>
    </w:p>
    <w:tbl>
      <w:tblPr>
        <w:tblStyle w:val="8"/>
        <w:tblW w:w="9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8"/>
        <w:gridCol w:w="1389"/>
        <w:gridCol w:w="1713"/>
        <w:gridCol w:w="1441"/>
        <w:gridCol w:w="1441"/>
        <w:gridCol w:w="1446"/>
      </w:tblGrid>
      <w:tr w14:paraId="2BAA2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1638" w:type="dxa"/>
          </w:tcPr>
          <w:p w14:paraId="5070797C">
            <w:pPr>
              <w:pStyle w:val="7"/>
              <w:spacing w:before="180" w:line="335" w:lineRule="auto"/>
              <w:ind w:left="141" w:right="238" w:firstLine="642"/>
              <w:jc w:val="both"/>
            </w:pPr>
            <w:r>
              <w:drawing>
                <wp:anchor distT="0" distB="0" distL="0" distR="0" simplePos="0" relativeHeight="251659264" behindDoc="1" locked="0" layoutInCell="1" allowOverlap="1">
                  <wp:simplePos x="0" y="0"/>
                  <wp:positionH relativeFrom="column">
                    <wp:posOffset>-3810</wp:posOffset>
                  </wp:positionH>
                  <wp:positionV relativeFrom="paragraph">
                    <wp:posOffset>18415</wp:posOffset>
                  </wp:positionV>
                  <wp:extent cx="1056640" cy="962025"/>
                  <wp:effectExtent l="0" t="0" r="10160" b="1333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1056640" cy="962025"/>
                          </a:xfrm>
                          <a:prstGeom prst="rect">
                            <a:avLst/>
                          </a:prstGeom>
                        </pic:spPr>
                      </pic:pic>
                    </a:graphicData>
                  </a:graphic>
                </wp:anchor>
              </w:drawing>
            </w:r>
            <w:r>
              <w:rPr>
                <w:spacing w:val="-5"/>
              </w:rPr>
              <w:t>结构</w:t>
            </w:r>
            <w:r>
              <w:rPr>
                <w:spacing w:val="-3"/>
              </w:rPr>
              <w:t>层数</w:t>
            </w:r>
          </w:p>
        </w:tc>
        <w:tc>
          <w:tcPr>
            <w:tcW w:w="1389" w:type="dxa"/>
            <w:vAlign w:val="center"/>
          </w:tcPr>
          <w:p w14:paraId="05F1659D">
            <w:pPr>
              <w:pStyle w:val="7"/>
              <w:spacing w:line="229" w:lineRule="auto"/>
              <w:jc w:val="both"/>
            </w:pPr>
            <w:r>
              <w:rPr>
                <w:spacing w:val="-1"/>
              </w:rPr>
              <w:t>砖混</w:t>
            </w:r>
            <w:r>
              <w:rPr>
                <w:spacing w:val="-5"/>
              </w:rPr>
              <w:t>结构</w:t>
            </w:r>
          </w:p>
        </w:tc>
        <w:tc>
          <w:tcPr>
            <w:tcW w:w="1713" w:type="dxa"/>
            <w:vAlign w:val="center"/>
          </w:tcPr>
          <w:p w14:paraId="18D3EA2A">
            <w:pPr>
              <w:pStyle w:val="7"/>
              <w:spacing w:line="297" w:lineRule="auto"/>
              <w:ind w:firstLine="3"/>
              <w:jc w:val="both"/>
              <w:rPr>
                <w:lang w:eastAsia="zh-CN"/>
              </w:rPr>
            </w:pPr>
            <w:r>
              <w:rPr>
                <w:spacing w:val="-16"/>
                <w:lang w:eastAsia="zh-CN"/>
              </w:rPr>
              <w:t>剪力墙（含</w:t>
            </w:r>
            <w:r>
              <w:rPr>
                <w:spacing w:val="59"/>
                <w:lang w:eastAsia="zh-CN"/>
              </w:rPr>
              <w:t>框架剪力</w:t>
            </w:r>
            <w:r>
              <w:rPr>
                <w:spacing w:val="4"/>
                <w:lang w:eastAsia="zh-CN"/>
              </w:rPr>
              <w:t>墙）结构</w:t>
            </w:r>
          </w:p>
        </w:tc>
        <w:tc>
          <w:tcPr>
            <w:tcW w:w="1441" w:type="dxa"/>
            <w:vAlign w:val="center"/>
          </w:tcPr>
          <w:p w14:paraId="14CB1498">
            <w:pPr>
              <w:pStyle w:val="7"/>
              <w:spacing w:line="226" w:lineRule="auto"/>
              <w:jc w:val="both"/>
            </w:pPr>
            <w:r>
              <w:rPr>
                <w:spacing w:val="-2"/>
              </w:rPr>
              <w:t>框架</w:t>
            </w:r>
            <w:r>
              <w:rPr>
                <w:spacing w:val="-5"/>
              </w:rPr>
              <w:t>结构</w:t>
            </w:r>
          </w:p>
        </w:tc>
        <w:tc>
          <w:tcPr>
            <w:tcW w:w="1441" w:type="dxa"/>
            <w:vAlign w:val="center"/>
          </w:tcPr>
          <w:p w14:paraId="4DE1BBB2">
            <w:pPr>
              <w:pStyle w:val="7"/>
              <w:spacing w:line="229" w:lineRule="auto"/>
              <w:jc w:val="both"/>
            </w:pPr>
            <w:r>
              <w:rPr>
                <w:spacing w:val="3"/>
              </w:rPr>
              <w:t>钢结构</w:t>
            </w:r>
          </w:p>
        </w:tc>
        <w:tc>
          <w:tcPr>
            <w:tcW w:w="1446" w:type="dxa"/>
            <w:vAlign w:val="center"/>
          </w:tcPr>
          <w:p w14:paraId="67EA8982">
            <w:pPr>
              <w:pStyle w:val="7"/>
              <w:spacing w:line="334" w:lineRule="auto"/>
              <w:jc w:val="both"/>
            </w:pPr>
            <w:r>
              <w:rPr>
                <w:spacing w:val="-18"/>
              </w:rPr>
              <w:t>地下车</w:t>
            </w:r>
            <w:r>
              <w:t>库</w:t>
            </w:r>
          </w:p>
        </w:tc>
      </w:tr>
      <w:tr w14:paraId="67828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38" w:type="dxa"/>
          </w:tcPr>
          <w:p w14:paraId="395A7CF7">
            <w:pPr>
              <w:pStyle w:val="7"/>
              <w:spacing w:before="176" w:line="225" w:lineRule="auto"/>
              <w:ind w:left="145"/>
              <w:jc w:val="center"/>
            </w:pPr>
            <w:r>
              <w:rPr>
                <w:spacing w:val="-5"/>
              </w:rPr>
              <w:t>单层</w:t>
            </w:r>
          </w:p>
        </w:tc>
        <w:tc>
          <w:tcPr>
            <w:tcW w:w="1389" w:type="dxa"/>
          </w:tcPr>
          <w:p w14:paraId="5F78F542">
            <w:pPr>
              <w:pStyle w:val="7"/>
              <w:spacing w:before="176" w:line="225" w:lineRule="auto"/>
              <w:ind w:left="139"/>
              <w:jc w:val="center"/>
            </w:pPr>
            <w:r>
              <w:rPr>
                <w:spacing w:val="-4"/>
              </w:rPr>
              <w:t>1200</w:t>
            </w:r>
          </w:p>
        </w:tc>
        <w:tc>
          <w:tcPr>
            <w:tcW w:w="1713" w:type="dxa"/>
          </w:tcPr>
          <w:p w14:paraId="3E65C389">
            <w:pPr>
              <w:pStyle w:val="7"/>
              <w:spacing w:before="176" w:line="225" w:lineRule="auto"/>
              <w:ind w:left="115"/>
              <w:jc w:val="center"/>
            </w:pPr>
            <w:r>
              <w:t>/</w:t>
            </w:r>
          </w:p>
        </w:tc>
        <w:tc>
          <w:tcPr>
            <w:tcW w:w="1441" w:type="dxa"/>
          </w:tcPr>
          <w:p w14:paraId="610B4173">
            <w:pPr>
              <w:pStyle w:val="7"/>
              <w:spacing w:before="176" w:line="225" w:lineRule="auto"/>
              <w:ind w:left="120"/>
              <w:jc w:val="center"/>
            </w:pPr>
            <w:r>
              <w:rPr>
                <w:spacing w:val="1"/>
              </w:rPr>
              <w:t>2010</w:t>
            </w:r>
          </w:p>
        </w:tc>
        <w:tc>
          <w:tcPr>
            <w:tcW w:w="1441" w:type="dxa"/>
            <w:vMerge w:val="restart"/>
            <w:tcBorders>
              <w:bottom w:val="nil"/>
            </w:tcBorders>
          </w:tcPr>
          <w:p w14:paraId="07DABB16">
            <w:pPr>
              <w:spacing w:line="359" w:lineRule="auto"/>
              <w:jc w:val="center"/>
            </w:pPr>
          </w:p>
          <w:p w14:paraId="6D47FA74">
            <w:pPr>
              <w:pStyle w:val="7"/>
              <w:spacing w:before="101" w:line="414" w:lineRule="exact"/>
              <w:ind w:left="141"/>
              <w:jc w:val="center"/>
            </w:pPr>
            <w:r>
              <w:rPr>
                <w:spacing w:val="-4"/>
                <w:position w:val="2"/>
              </w:rPr>
              <w:t>1460</w:t>
            </w:r>
          </w:p>
        </w:tc>
        <w:tc>
          <w:tcPr>
            <w:tcW w:w="1446" w:type="dxa"/>
            <w:vMerge w:val="restart"/>
            <w:tcBorders>
              <w:bottom w:val="nil"/>
            </w:tcBorders>
          </w:tcPr>
          <w:p w14:paraId="7D602E92">
            <w:pPr>
              <w:spacing w:line="359" w:lineRule="auto"/>
              <w:jc w:val="center"/>
            </w:pPr>
          </w:p>
          <w:p w14:paraId="6DE78FBF">
            <w:pPr>
              <w:pStyle w:val="7"/>
              <w:spacing w:before="101" w:line="414" w:lineRule="exact"/>
              <w:ind w:left="123"/>
              <w:jc w:val="center"/>
            </w:pPr>
            <w:r>
              <w:rPr>
                <w:spacing w:val="1"/>
                <w:position w:val="2"/>
              </w:rPr>
              <w:t>2260</w:t>
            </w:r>
          </w:p>
        </w:tc>
      </w:tr>
      <w:tr w14:paraId="4CB8B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638" w:type="dxa"/>
          </w:tcPr>
          <w:p w14:paraId="15169570">
            <w:pPr>
              <w:pStyle w:val="7"/>
              <w:spacing w:before="195" w:line="223" w:lineRule="auto"/>
              <w:ind w:left="131"/>
              <w:jc w:val="center"/>
              <w:rPr>
                <w:sz w:val="30"/>
                <w:szCs w:val="30"/>
              </w:rPr>
            </w:pPr>
            <w:r>
              <w:rPr>
                <w:spacing w:val="-8"/>
                <w:sz w:val="30"/>
                <w:szCs w:val="30"/>
              </w:rPr>
              <w:t>2层及以上</w:t>
            </w:r>
          </w:p>
        </w:tc>
        <w:tc>
          <w:tcPr>
            <w:tcW w:w="1389" w:type="dxa"/>
          </w:tcPr>
          <w:p w14:paraId="1E6F954C">
            <w:pPr>
              <w:pStyle w:val="7"/>
              <w:spacing w:before="178" w:line="226" w:lineRule="auto"/>
              <w:ind w:left="139"/>
              <w:jc w:val="center"/>
            </w:pPr>
            <w:r>
              <w:rPr>
                <w:spacing w:val="-4"/>
              </w:rPr>
              <w:t>1910</w:t>
            </w:r>
          </w:p>
        </w:tc>
        <w:tc>
          <w:tcPr>
            <w:tcW w:w="1713" w:type="dxa"/>
          </w:tcPr>
          <w:p w14:paraId="39BF5382">
            <w:pPr>
              <w:pStyle w:val="7"/>
              <w:spacing w:before="178" w:line="226" w:lineRule="auto"/>
              <w:ind w:left="120"/>
              <w:jc w:val="center"/>
            </w:pPr>
            <w:r>
              <w:rPr>
                <w:spacing w:val="1"/>
              </w:rPr>
              <w:t>2140</w:t>
            </w:r>
          </w:p>
        </w:tc>
        <w:tc>
          <w:tcPr>
            <w:tcW w:w="1441" w:type="dxa"/>
          </w:tcPr>
          <w:p w14:paraId="7BF38654">
            <w:pPr>
              <w:pStyle w:val="7"/>
              <w:spacing w:before="178" w:line="226" w:lineRule="auto"/>
              <w:ind w:left="120"/>
              <w:jc w:val="center"/>
            </w:pPr>
            <w:r>
              <w:rPr>
                <w:spacing w:val="1"/>
              </w:rPr>
              <w:t>2290</w:t>
            </w:r>
          </w:p>
        </w:tc>
        <w:tc>
          <w:tcPr>
            <w:tcW w:w="1441" w:type="dxa"/>
            <w:vMerge w:val="continue"/>
            <w:tcBorders>
              <w:top w:val="nil"/>
            </w:tcBorders>
          </w:tcPr>
          <w:p w14:paraId="48753821">
            <w:pPr>
              <w:jc w:val="both"/>
            </w:pPr>
          </w:p>
        </w:tc>
        <w:tc>
          <w:tcPr>
            <w:tcW w:w="1446" w:type="dxa"/>
            <w:vMerge w:val="continue"/>
            <w:tcBorders>
              <w:top w:val="nil"/>
            </w:tcBorders>
          </w:tcPr>
          <w:p w14:paraId="53F72E51">
            <w:pPr>
              <w:jc w:val="both"/>
            </w:pPr>
          </w:p>
        </w:tc>
      </w:tr>
    </w:tbl>
    <w:p w14:paraId="53766B21">
      <w:pPr>
        <w:pStyle w:val="2"/>
        <w:spacing w:line="600" w:lineRule="exact"/>
        <w:ind w:firstLine="640" w:firstLineChars="200"/>
        <w:jc w:val="both"/>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配套费按以下规定计征：</w:t>
      </w:r>
    </w:p>
    <w:p w14:paraId="00F8A271">
      <w:pPr>
        <w:pStyle w:val="2"/>
        <w:spacing w:line="600" w:lineRule="exact"/>
        <w:ind w:firstLine="640" w:firstLineChars="200"/>
        <w:jc w:val="both"/>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（一）配套费按单项工程项目类型确定征收基数。单项工程指在一个建设工程项目中，具有独立的设计文件，竣工后能独立发挥生产能力或功能的工程项目。</w:t>
      </w:r>
    </w:p>
    <w:p w14:paraId="5D7C672C">
      <w:pPr>
        <w:pStyle w:val="2"/>
        <w:spacing w:line="600" w:lineRule="exact"/>
        <w:ind w:firstLine="640" w:firstLineChars="200"/>
        <w:jc w:val="both"/>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（二）单独办理的“地下车库”项目按“地下车库”征收基数计征配套费，“地下车库”与“主体”一同办理手续的项目，不拆分地下部分的面积，按“主体”项目类别计征配套费。</w:t>
      </w:r>
    </w:p>
    <w:p w14:paraId="088EDD94">
      <w:pPr>
        <w:pStyle w:val="2"/>
        <w:spacing w:line="600" w:lineRule="exact"/>
        <w:ind w:firstLine="640" w:firstLineChars="200"/>
        <w:jc w:val="both"/>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（三）每平方米征收基数表中没有相应类别的工程时依据结构、使用性质相似的类别计征配套费；无相近类别的项目及不能以面积计量的项目按签约合同价的3%计征配套费。</w:t>
      </w:r>
    </w:p>
    <w:p w14:paraId="6BD7267E">
      <w:pPr>
        <w:pStyle w:val="2"/>
        <w:spacing w:line="600" w:lineRule="exact"/>
        <w:ind w:firstLine="640" w:firstLineChars="200"/>
        <w:jc w:val="both"/>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（四）配套费征收基数标准将根据地区经济发展水平适时调整。</w:t>
      </w:r>
    </w:p>
    <w:p w14:paraId="37ECA4AA">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宋体" w:hAnsi="宋体" w:eastAsia="方正仿宋简体" w:cs="方正仿宋简体"/>
          <w:kern w:val="2"/>
          <w:sz w:val="32"/>
          <w:szCs w:val="32"/>
          <w:lang w:eastAsia="zh-CN" w:bidi="ar"/>
        </w:rPr>
      </w:pPr>
      <w:r>
        <w:rPr>
          <w:rFonts w:hint="eastAsia" w:ascii="黑体" w:hAnsi="黑体" w:eastAsia="黑体"/>
          <w:snapToGrid/>
          <w:sz w:val="32"/>
          <w:szCs w:val="32"/>
          <w:lang w:eastAsia="zh-CN"/>
        </w:rPr>
        <w:t xml:space="preserve">第四条 </w:t>
      </w:r>
      <w:r>
        <w:rPr>
          <w:rFonts w:hint="eastAsia" w:ascii="宋体" w:hAnsi="宋体" w:eastAsia="方正仿宋简体" w:cs="方正仿宋简体"/>
          <w:kern w:val="2"/>
          <w:sz w:val="32"/>
          <w:szCs w:val="32"/>
          <w:lang w:val="en-US" w:eastAsia="zh-CN" w:bidi="ar"/>
        </w:rPr>
        <w:t>铁门关经济技术开发区范围内的配套费</w:t>
      </w:r>
      <w:r>
        <w:rPr>
          <w:rFonts w:hint="eastAsia" w:ascii="宋体" w:hAnsi="宋体" w:eastAsia="方正仿宋简体" w:cs="方正仿宋简体"/>
          <w:kern w:val="2"/>
          <w:sz w:val="32"/>
          <w:szCs w:val="32"/>
          <w:lang w:eastAsia="zh-CN" w:bidi="ar"/>
        </w:rPr>
        <w:t>由</w:t>
      </w:r>
      <w:r>
        <w:rPr>
          <w:rFonts w:hint="eastAsia" w:ascii="宋体" w:hAnsi="宋体" w:eastAsia="方正仿宋简体" w:cs="方正仿宋简体"/>
          <w:kern w:val="2"/>
          <w:sz w:val="32"/>
          <w:szCs w:val="32"/>
          <w:lang w:val="en-US" w:eastAsia="zh-CN" w:bidi="ar"/>
        </w:rPr>
        <w:t>园区建设主管单位核准，其余由铁门关市住房和城乡建设局进行核准，经核准后的配套费由项目建设单位或个人至住建局开具非税收入缴款通知单上缴国库。</w:t>
      </w:r>
      <w:r>
        <w:rPr>
          <w:rFonts w:hint="eastAsia" w:ascii="宋体" w:hAnsi="宋体" w:eastAsia="方正仿宋简体" w:cs="方正仿宋简体"/>
          <w:kern w:val="2"/>
          <w:sz w:val="32"/>
          <w:szCs w:val="32"/>
          <w:lang w:eastAsia="zh-CN" w:bidi="ar"/>
        </w:rPr>
        <w:t>建设单位在开工前，应当按规定缴清配套费。</w:t>
      </w:r>
    </w:p>
    <w:p w14:paraId="0C75CF06">
      <w:pPr>
        <w:pStyle w:val="2"/>
        <w:spacing w:line="600" w:lineRule="exact"/>
        <w:ind w:firstLine="640" w:firstLineChars="200"/>
        <w:jc w:val="both"/>
        <w:rPr>
          <w:rFonts w:ascii="宋体" w:hAnsi="宋体" w:eastAsia="方正仿宋简体" w:cs="方正仿宋简体"/>
          <w:kern w:val="2"/>
          <w:sz w:val="32"/>
          <w:szCs w:val="32"/>
          <w:lang w:eastAsia="zh-CN" w:bidi="ar"/>
        </w:rPr>
      </w:pPr>
      <w:r>
        <w:rPr>
          <w:rFonts w:hint="eastAsia" w:ascii="黑体" w:hAnsi="黑体" w:eastAsia="黑体"/>
          <w:snapToGrid/>
          <w:sz w:val="32"/>
          <w:szCs w:val="32"/>
          <w:lang w:eastAsia="zh-CN"/>
        </w:rPr>
        <w:t xml:space="preserve">第五条 </w:t>
      </w:r>
      <w:r>
        <w:rPr>
          <w:rFonts w:hint="eastAsia" w:ascii="宋体" w:hAnsi="宋体" w:eastAsia="方正仿宋简体" w:cs="方正仿宋简体"/>
          <w:kern w:val="2"/>
          <w:sz w:val="32"/>
          <w:szCs w:val="32"/>
          <w:lang w:eastAsia="zh-CN" w:bidi="ar"/>
        </w:rPr>
        <w:t>除下列建设项目可以免缴配套费外，其他项目均不得减免，也不得采取缓缴、欠缴等方式变相减免配套费：</w:t>
      </w:r>
    </w:p>
    <w:p w14:paraId="1E93D4AD">
      <w:pPr>
        <w:pStyle w:val="2"/>
        <w:spacing w:line="600" w:lineRule="exact"/>
        <w:ind w:firstLine="640" w:firstLineChars="200"/>
        <w:jc w:val="both"/>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（一）军队（武警）营房（不含家属宿舍）及军事设施；</w:t>
      </w:r>
    </w:p>
    <w:p w14:paraId="2852ACDE">
      <w:pPr>
        <w:pStyle w:val="2"/>
        <w:spacing w:line="600" w:lineRule="exact"/>
        <w:ind w:firstLine="640" w:firstLineChars="200"/>
        <w:jc w:val="both"/>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（二）国家机关、人民团体机关办公用房；</w:t>
      </w:r>
    </w:p>
    <w:p w14:paraId="06BE8716">
      <w:pPr>
        <w:pStyle w:val="2"/>
        <w:widowControl w:val="0"/>
        <w:spacing w:line="600" w:lineRule="exact"/>
        <w:ind w:firstLine="640" w:firstLineChars="200"/>
        <w:jc w:val="both"/>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（三）社会福利机构，体育健身设施，用于提供社区家政服务的建设项目；</w:t>
      </w:r>
    </w:p>
    <w:p w14:paraId="56510094">
      <w:pPr>
        <w:pStyle w:val="2"/>
        <w:widowControl w:val="0"/>
        <w:spacing w:line="600" w:lineRule="exact"/>
        <w:ind w:firstLine="640" w:firstLineChars="200"/>
        <w:jc w:val="both"/>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（四）各级各类医疗机构门（急）诊、住院用房，包括医院为正常开展业务工作建设的用房及配套附属设施；</w:t>
      </w:r>
    </w:p>
    <w:p w14:paraId="7C900055">
      <w:pPr>
        <w:pStyle w:val="2"/>
        <w:spacing w:line="600" w:lineRule="exact"/>
        <w:ind w:firstLine="640" w:firstLineChars="200"/>
        <w:jc w:val="both"/>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（五）托儿所、幼儿园，公办学校以及捐资举办的民办学校和出资人不要求取得合理回报的民办学校教学用房和学生集体宿舍；</w:t>
      </w:r>
    </w:p>
    <w:p w14:paraId="3B69C387">
      <w:pPr>
        <w:pStyle w:val="2"/>
        <w:spacing w:line="600" w:lineRule="exact"/>
        <w:ind w:firstLine="640" w:firstLineChars="200"/>
        <w:jc w:val="both"/>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（六）监狱、戒毒用房及驻监武警用房；</w:t>
      </w:r>
    </w:p>
    <w:p w14:paraId="637ED540">
      <w:pPr>
        <w:pStyle w:val="2"/>
        <w:spacing w:line="600" w:lineRule="exact"/>
        <w:ind w:firstLine="640" w:firstLineChars="200"/>
        <w:jc w:val="both"/>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（七）各类享受国家优惠政策的保障性住房建设项目，城镇开发边界范围内安居富民工程和农民建设的自用住房；</w:t>
      </w:r>
    </w:p>
    <w:p w14:paraId="13C7F5D5">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（八）城市道路、桥梁、给排水、污水处理、园林绿化、电力设施、路灯、环境卫生、公共交通、燃气、集中供热等城市基础设施建设项目；单位和个人既有自供暖锅炉房，按环保要求并入城市集中供热管网的；</w:t>
      </w:r>
    </w:p>
    <w:p w14:paraId="792EB05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（九）其他由国家和自治区规定免缴配套费的建设项目。</w:t>
      </w:r>
    </w:p>
    <w:p w14:paraId="0F2FC9C8">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享受免缴配套费的项目，由建设单位提出书面申请，并持有关证明文件，由</w:t>
      </w:r>
      <w:r>
        <w:rPr>
          <w:rFonts w:hint="eastAsia" w:ascii="宋体" w:hAnsi="宋体" w:eastAsia="方正仿宋简体" w:cs="方正仿宋简体"/>
          <w:kern w:val="2"/>
          <w:sz w:val="32"/>
          <w:szCs w:val="32"/>
          <w:lang w:val="en-US" w:eastAsia="zh-CN" w:bidi="ar"/>
        </w:rPr>
        <w:t>铁门关市住房和城乡建设局</w:t>
      </w:r>
      <w:r>
        <w:rPr>
          <w:rFonts w:hint="eastAsia" w:ascii="宋体" w:hAnsi="宋体" w:eastAsia="方正仿宋简体" w:cs="方正仿宋简体"/>
          <w:kern w:val="2"/>
          <w:sz w:val="32"/>
          <w:szCs w:val="32"/>
          <w:lang w:eastAsia="zh-CN" w:bidi="ar"/>
        </w:rPr>
        <w:t>按上述规定进行审核后，报铁门关市人民政府</w:t>
      </w:r>
      <w:r>
        <w:rPr>
          <w:rFonts w:hint="eastAsia" w:ascii="宋体" w:hAnsi="宋体" w:eastAsia="方正仿宋简体" w:cs="方正仿宋简体"/>
          <w:kern w:val="2"/>
          <w:sz w:val="32"/>
          <w:szCs w:val="32"/>
          <w:lang w:val="en-US" w:eastAsia="zh-CN" w:bidi="ar"/>
        </w:rPr>
        <w:t>批准</w:t>
      </w:r>
      <w:r>
        <w:rPr>
          <w:rFonts w:hint="eastAsia" w:ascii="宋体" w:hAnsi="宋体" w:eastAsia="方正仿宋简体" w:cs="方正仿宋简体"/>
          <w:kern w:val="2"/>
          <w:sz w:val="32"/>
          <w:szCs w:val="32"/>
          <w:lang w:eastAsia="zh-CN" w:bidi="ar"/>
        </w:rPr>
        <w:t>。</w:t>
      </w:r>
    </w:p>
    <w:p w14:paraId="375CBEEB">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eastAsia="zh-CN" w:bidi="ar"/>
        </w:rPr>
        <w:t>免缴配套费的建设项目，其使用性质（功能）发生改变的，应当补缴配套费。</w:t>
      </w:r>
    </w:p>
    <w:p w14:paraId="7C151F39">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宋体" w:hAnsi="宋体" w:eastAsia="方正仿宋简体" w:cs="方正仿宋简体"/>
          <w:kern w:val="2"/>
          <w:sz w:val="32"/>
          <w:szCs w:val="32"/>
          <w:lang w:eastAsia="zh-CN" w:bidi="ar"/>
        </w:rPr>
      </w:pPr>
      <w:r>
        <w:rPr>
          <w:rFonts w:hint="eastAsia" w:ascii="黑体" w:hAnsi="黑体" w:eastAsia="黑体"/>
          <w:snapToGrid/>
          <w:sz w:val="32"/>
          <w:szCs w:val="32"/>
          <w:lang w:eastAsia="zh-CN"/>
        </w:rPr>
        <w:t xml:space="preserve">第六条 </w:t>
      </w:r>
      <w:r>
        <w:rPr>
          <w:rFonts w:hint="eastAsia" w:ascii="宋体" w:hAnsi="宋体" w:eastAsia="方正仿宋简体" w:cs="方正仿宋简体"/>
          <w:kern w:val="2"/>
          <w:sz w:val="32"/>
          <w:szCs w:val="32"/>
          <w:lang w:eastAsia="zh-CN" w:bidi="ar"/>
        </w:rPr>
        <w:t>缴纳配套费后，建筑面积增加的，建设单位应按《不动产登记证书》确定的面积补缴配套费。</w:t>
      </w:r>
    </w:p>
    <w:p w14:paraId="515BD673">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宋体" w:hAnsi="宋体" w:eastAsia="方正仿宋简体" w:cs="方正仿宋简体"/>
          <w:kern w:val="2"/>
          <w:sz w:val="32"/>
          <w:szCs w:val="32"/>
          <w:lang w:eastAsia="zh-CN" w:bidi="ar"/>
        </w:rPr>
      </w:pPr>
      <w:r>
        <w:rPr>
          <w:rFonts w:hint="eastAsia" w:ascii="黑体" w:hAnsi="黑体" w:eastAsia="黑体"/>
          <w:snapToGrid/>
          <w:sz w:val="32"/>
          <w:szCs w:val="32"/>
          <w:lang w:eastAsia="zh-CN"/>
        </w:rPr>
        <w:t xml:space="preserve">第七条 </w:t>
      </w:r>
      <w:r>
        <w:rPr>
          <w:rFonts w:hint="eastAsia" w:ascii="宋体" w:hAnsi="宋体" w:eastAsia="方正仿宋简体" w:cs="方正仿宋简体"/>
          <w:kern w:val="2"/>
          <w:sz w:val="32"/>
          <w:szCs w:val="32"/>
          <w:lang w:eastAsia="zh-CN" w:bidi="ar"/>
        </w:rPr>
        <w:t>配套费属于政府非税收入，全额缴入地方国库，纳入地方政府基金预算，实行专款专用。在政府收支分类科目中收入列103类01款56项“城市基础设施配套费收入”，支出列212类13款“城市基础设施配套费安排的支出”下的有关项级科目。</w:t>
      </w:r>
    </w:p>
    <w:p w14:paraId="4B3EE6A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宋体" w:hAnsi="宋体" w:eastAsia="方正仿宋简体" w:cs="方正仿宋简体"/>
          <w:kern w:val="2"/>
          <w:sz w:val="32"/>
          <w:szCs w:val="32"/>
          <w:lang w:eastAsia="zh-CN" w:bidi="ar"/>
        </w:rPr>
      </w:pPr>
      <w:r>
        <w:rPr>
          <w:rFonts w:hint="eastAsia" w:ascii="宋体" w:hAnsi="宋体" w:eastAsia="方正仿宋简体" w:cs="方正仿宋简体"/>
          <w:kern w:val="2"/>
          <w:sz w:val="32"/>
          <w:szCs w:val="32"/>
          <w:lang w:val="en-US" w:eastAsia="zh-CN" w:bidi="ar"/>
        </w:rPr>
        <w:t>铁门关市住房和城乡建设局核准</w:t>
      </w:r>
      <w:r>
        <w:rPr>
          <w:rFonts w:hint="eastAsia" w:ascii="宋体" w:hAnsi="宋体" w:eastAsia="方正仿宋简体" w:cs="方正仿宋简体"/>
          <w:kern w:val="2"/>
          <w:sz w:val="32"/>
          <w:szCs w:val="32"/>
          <w:lang w:eastAsia="zh-CN" w:bidi="ar"/>
        </w:rPr>
        <w:t>前应当向</w:t>
      </w:r>
      <w:r>
        <w:rPr>
          <w:rFonts w:hint="eastAsia" w:ascii="宋体" w:hAnsi="宋体" w:eastAsia="方正仿宋简体" w:cs="方正仿宋简体"/>
          <w:kern w:val="2"/>
          <w:sz w:val="32"/>
          <w:szCs w:val="32"/>
          <w:lang w:val="en-US" w:eastAsia="zh-CN" w:bidi="ar"/>
        </w:rPr>
        <w:t>铁门关市发展改革委</w:t>
      </w:r>
      <w:r>
        <w:rPr>
          <w:rFonts w:hint="eastAsia" w:ascii="宋体" w:hAnsi="宋体" w:eastAsia="方正仿宋简体" w:cs="方正仿宋简体"/>
          <w:kern w:val="2"/>
          <w:sz w:val="32"/>
          <w:szCs w:val="32"/>
          <w:lang w:eastAsia="zh-CN" w:bidi="ar"/>
        </w:rPr>
        <w:t>办理公示公告手续，并主动接受财政、价格、审计和上级住房城乡建设行政主管部门的监督检查。</w:t>
      </w:r>
    </w:p>
    <w:p w14:paraId="47234539">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宋体" w:hAnsi="宋体" w:eastAsia="方正仿宋简体" w:cs="方正仿宋简体"/>
          <w:kern w:val="2"/>
          <w:sz w:val="32"/>
          <w:szCs w:val="32"/>
          <w:lang w:eastAsia="zh-CN" w:bidi="ar"/>
        </w:rPr>
      </w:pPr>
      <w:r>
        <w:rPr>
          <w:rFonts w:hint="eastAsia" w:ascii="黑体" w:hAnsi="黑体" w:eastAsia="黑体"/>
          <w:snapToGrid/>
          <w:sz w:val="32"/>
          <w:szCs w:val="32"/>
          <w:lang w:eastAsia="zh-CN"/>
        </w:rPr>
        <w:t xml:space="preserve">第八条 </w:t>
      </w:r>
      <w:r>
        <w:rPr>
          <w:rFonts w:hint="eastAsia" w:ascii="宋体" w:hAnsi="宋体" w:eastAsia="方正仿宋简体" w:cs="方正仿宋简体"/>
          <w:kern w:val="2"/>
          <w:sz w:val="32"/>
          <w:szCs w:val="32"/>
          <w:lang w:eastAsia="zh-CN" w:bidi="ar"/>
        </w:rPr>
        <w:t>配套费由</w:t>
      </w:r>
      <w:r>
        <w:rPr>
          <w:rFonts w:hint="eastAsia" w:ascii="宋体" w:hAnsi="宋体" w:eastAsia="方正仿宋简体" w:cs="方正仿宋简体"/>
          <w:kern w:val="2"/>
          <w:sz w:val="32"/>
          <w:szCs w:val="32"/>
          <w:lang w:val="en-US" w:eastAsia="zh-CN" w:bidi="ar"/>
        </w:rPr>
        <w:t>铁门关市人民政府</w:t>
      </w:r>
      <w:r>
        <w:rPr>
          <w:rFonts w:hint="eastAsia" w:ascii="宋体" w:hAnsi="宋体" w:eastAsia="方正仿宋简体" w:cs="方正仿宋简体"/>
          <w:kern w:val="2"/>
          <w:sz w:val="32"/>
          <w:szCs w:val="32"/>
          <w:lang w:eastAsia="zh-CN" w:bidi="ar"/>
        </w:rPr>
        <w:t>统一安排使用，专项用于城市市政公用基础设施建设，不得用于人员、办公经费和事业经费开支，各部门不得提留、挪用。供热企业不得以工程费、接口费、补偿费或类似名义向用热单位和个人收费，对违反规定的，由市场监督管理局按照《中华人民共和国价格法》及相关法规依法查处。</w:t>
      </w:r>
    </w:p>
    <w:p w14:paraId="2F236A29">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宋体" w:hAnsi="宋体" w:eastAsia="方正仿宋简体" w:cs="方正仿宋简体"/>
          <w:kern w:val="2"/>
          <w:sz w:val="32"/>
          <w:szCs w:val="32"/>
          <w:lang w:eastAsia="zh-CN" w:bidi="ar"/>
        </w:rPr>
      </w:pPr>
      <w:r>
        <w:rPr>
          <w:rFonts w:hint="eastAsia" w:ascii="黑体" w:hAnsi="黑体" w:eastAsia="黑体"/>
          <w:snapToGrid/>
          <w:sz w:val="32"/>
          <w:szCs w:val="32"/>
          <w:lang w:eastAsia="zh-CN"/>
        </w:rPr>
        <w:t xml:space="preserve">第九条 </w:t>
      </w:r>
      <w:r>
        <w:rPr>
          <w:rFonts w:hint="eastAsia" w:ascii="宋体" w:hAnsi="宋体" w:eastAsia="方正仿宋简体" w:cs="方正仿宋简体"/>
          <w:kern w:val="2"/>
          <w:sz w:val="32"/>
          <w:szCs w:val="32"/>
          <w:lang w:eastAsia="zh-CN" w:bidi="ar"/>
        </w:rPr>
        <w:t>违反本办法规定的行为，依照国务院《财政违法行为处罚处分条例》（国务院令第427号）和《违反行政事业性收费和罚没收入收支两条线管理规定行政处分暂行规定》（国务院令第</w:t>
      </w:r>
      <w:r>
        <w:rPr>
          <w:rFonts w:hint="eastAsia" w:ascii="宋体" w:hAnsi="宋体" w:eastAsia="方正仿宋简体" w:cs="方正仿宋简体"/>
          <w:kern w:val="2"/>
          <w:sz w:val="32"/>
          <w:szCs w:val="32"/>
          <w:lang w:val="en-US" w:eastAsia="zh-CN" w:bidi="ar"/>
        </w:rPr>
        <w:t>281</w:t>
      </w:r>
      <w:r>
        <w:rPr>
          <w:rFonts w:hint="eastAsia" w:ascii="宋体" w:hAnsi="宋体" w:eastAsia="方正仿宋简体" w:cs="方正仿宋简体"/>
          <w:kern w:val="2"/>
          <w:sz w:val="32"/>
          <w:szCs w:val="32"/>
          <w:lang w:eastAsia="zh-CN" w:bidi="ar"/>
        </w:rPr>
        <w:t>号）的规定执行。</w:t>
      </w:r>
    </w:p>
    <w:p w14:paraId="7CAC612F">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宋体" w:hAnsi="宋体" w:eastAsia="方正仿宋简体" w:cs="方正仿宋简体"/>
          <w:kern w:val="2"/>
          <w:sz w:val="32"/>
          <w:szCs w:val="32"/>
          <w:lang w:eastAsia="zh-CN" w:bidi="ar"/>
        </w:rPr>
      </w:pPr>
      <w:r>
        <w:rPr>
          <w:rFonts w:hint="eastAsia" w:ascii="黑体" w:hAnsi="黑体" w:eastAsia="黑体"/>
          <w:snapToGrid/>
          <w:sz w:val="32"/>
          <w:szCs w:val="32"/>
          <w:lang w:eastAsia="zh-CN"/>
        </w:rPr>
        <w:t xml:space="preserve">第十条 </w:t>
      </w:r>
      <w:r>
        <w:rPr>
          <w:rFonts w:hint="eastAsia" w:ascii="宋体" w:hAnsi="宋体" w:eastAsia="方正仿宋简体" w:cs="方正仿宋简体"/>
          <w:kern w:val="2"/>
          <w:sz w:val="32"/>
          <w:szCs w:val="32"/>
          <w:lang w:eastAsia="zh-CN" w:bidi="ar"/>
        </w:rPr>
        <w:t>本细则自发布之日起30日后施行，其他有关征收配套费的规定与本细则相抵触的，以本细则为准。</w:t>
      </w:r>
      <w:r>
        <w:rPr>
          <w:rFonts w:hint="eastAsia" w:ascii="宋体" w:hAnsi="宋体" w:eastAsia="方正仿宋简体" w:cs="方正仿宋简体"/>
          <w:kern w:val="2"/>
          <w:sz w:val="32"/>
          <w:szCs w:val="32"/>
          <w:lang w:eastAsia="zh-CN"/>
        </w:rPr>
        <w:t>《</w:t>
      </w:r>
      <w:r>
        <w:rPr>
          <w:rFonts w:ascii="宋体" w:hAnsi="宋体" w:eastAsia="方正仿宋简体" w:cs="方正仿宋简体"/>
          <w:sz w:val="32"/>
          <w:szCs w:val="32"/>
          <w:lang w:eastAsia="zh-CN"/>
        </w:rPr>
        <w:t>铁门关市市政公用基础设施配套费征收使用管理实施细则</w:t>
      </w:r>
      <w:r>
        <w:rPr>
          <w:rFonts w:hint="eastAsia" w:ascii="宋体" w:hAnsi="宋体" w:eastAsia="方正仿宋简体" w:cs="方正仿宋简体"/>
          <w:kern w:val="2"/>
          <w:sz w:val="32"/>
          <w:szCs w:val="32"/>
          <w:lang w:eastAsia="zh-CN"/>
        </w:rPr>
        <w:t>》（铁政办发〔2016〕7号）同时废止。</w:t>
      </w:r>
    </w:p>
    <w:p w14:paraId="26C5C3A7">
      <w:pPr>
        <w:tabs>
          <w:tab w:val="left" w:pos="5831"/>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44E15"/>
    <w:rsid w:val="11BC49D0"/>
    <w:rsid w:val="15C44E15"/>
    <w:rsid w:val="3EEE6EA5"/>
    <w:rsid w:val="7C710AA9"/>
    <w:rsid w:val="7D75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qFormat/>
    <w:uiPriority w:val="0"/>
    <w:pPr>
      <w:tabs>
        <w:tab w:val="center" w:pos="4153"/>
        <w:tab w:val="right" w:pos="8306"/>
      </w:tabs>
    </w:pPr>
    <w:rPr>
      <w:sz w:val="18"/>
    </w:rPr>
  </w:style>
  <w:style w:type="paragraph" w:styleId="6">
    <w:name w:val="List Paragraph"/>
    <w:basedOn w:val="1"/>
    <w:qFormat/>
    <w:uiPriority w:val="34"/>
    <w:pPr>
      <w:ind w:firstLine="420" w:firstLineChars="200"/>
    </w:pPr>
  </w:style>
  <w:style w:type="paragraph" w:customStyle="1" w:styleId="7">
    <w:name w:val="Table Text"/>
    <w:basedOn w:val="1"/>
    <w:semiHidden/>
    <w:qFormat/>
    <w:uiPriority w:val="0"/>
    <w:rPr>
      <w:rFonts w:ascii="仿宋" w:hAnsi="仿宋" w:eastAsia="仿宋" w:cs="仿宋"/>
      <w:sz w:val="31"/>
      <w:szCs w:val="31"/>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2255</Words>
  <Characters>2328</Characters>
  <Lines>0</Lines>
  <Paragraphs>0</Paragraphs>
  <TotalTime>113</TotalTime>
  <ScaleCrop>false</ScaleCrop>
  <LinksUpToDate>false</LinksUpToDate>
  <CharactersWithSpaces>2358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2025-09-08T05:01:00Z</dcterms:created>
  <dc:creator>A</dc:creator>
  <cp:lastModifiedBy>A</cp:lastModifiedBy>
  <cp:lastPrinted>2025-09-08T10:10:00Z</cp:lastPrinted>
  <dcterms:modified xsi:type="dcterms:W3CDTF">2025-09-09T01:55:03Z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9B74D7A97E0745E486724833F7BE7F09_11</vt:lpwstr>
  </property>
  <property fmtid="{D5CDD505-2E9C-101B-9397-08002B2CF9AE}" pid="4" name="KSOTemplateDocerSaveRecord">
    <vt:lpwstr>eyJoZGlkIjoiYzNjN2JkNTc0NjRkMjE0MzA2Y2FmMmU2ODI3MDJlYTQiLCJ1c2VySWQiOiI1ODQwODkxNTYifQ==</vt:lpwstr>
  </property>
</Properties>
</file>