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pacing w:line="560" w:lineRule="exact"/>
        <w:ind w:left="0" w:leftChars="0" w:firstLine="0" w:firstLineChars="0"/>
        <w:jc w:val="center"/>
        <w:textAlignment w:val="auto"/>
        <w:rPr>
          <w:rFonts w:hint="default" w:ascii="宋体" w:hAnsi="宋体" w:eastAsia="方正小标宋_GBK" w:cs="Times New Roman"/>
          <w:b w:val="0"/>
          <w:bCs w:val="0"/>
          <w:color w:val="auto"/>
          <w:sz w:val="44"/>
          <w:szCs w:val="44"/>
          <w:highlight w:val="none"/>
          <w:lang w:val="en-US" w:eastAsia="zh-CN"/>
        </w:rPr>
      </w:pPr>
    </w:p>
    <w:p>
      <w:pPr>
        <w:pageBreakBefore w:val="0"/>
        <w:kinsoku/>
        <w:wordWrap/>
        <w:overflowPunct/>
        <w:topLinePunct w:val="0"/>
        <w:autoSpaceDE/>
        <w:autoSpaceDN/>
        <w:bidi w:val="0"/>
        <w:spacing w:line="560" w:lineRule="exact"/>
        <w:ind w:left="0" w:leftChars="0" w:firstLine="0" w:firstLineChars="0"/>
        <w:jc w:val="center"/>
        <w:textAlignment w:val="auto"/>
        <w:rPr>
          <w:rFonts w:hint="default" w:ascii="宋体" w:hAnsi="宋体" w:eastAsia="方正小标宋_GBK" w:cs="Times New Roman"/>
          <w:b w:val="0"/>
          <w:bCs w:val="0"/>
          <w:color w:val="auto"/>
          <w:sz w:val="44"/>
          <w:szCs w:val="44"/>
          <w:highlight w:val="none"/>
          <w:lang w:val="en-US" w:eastAsia="zh-CN"/>
        </w:rPr>
      </w:pPr>
    </w:p>
    <w:p>
      <w:pPr>
        <w:pStyle w:val="2"/>
        <w:rPr>
          <w:rFonts w:hint="default" w:ascii="宋体" w:hAnsi="宋体" w:cs="Times New Roman"/>
          <w:color w:val="auto"/>
          <w:highlight w:val="none"/>
          <w:lang w:val="en-US" w:eastAsia="zh-CN"/>
        </w:rPr>
      </w:pPr>
    </w:p>
    <w:p>
      <w:pPr>
        <w:pageBreakBefore w:val="0"/>
        <w:kinsoku/>
        <w:wordWrap/>
        <w:overflowPunct/>
        <w:topLinePunct w:val="0"/>
        <w:autoSpaceDE/>
        <w:autoSpaceDN/>
        <w:bidi w:val="0"/>
        <w:spacing w:line="560" w:lineRule="exact"/>
        <w:ind w:left="0" w:leftChars="0" w:firstLine="0" w:firstLineChars="0"/>
        <w:jc w:val="center"/>
        <w:textAlignment w:val="auto"/>
        <w:rPr>
          <w:rFonts w:hint="default" w:ascii="宋体" w:hAnsi="宋体" w:eastAsia="方正小标宋_GBK" w:cs="Times New Roman"/>
          <w:b w:val="0"/>
          <w:bCs w:val="0"/>
          <w:color w:val="auto"/>
          <w:sz w:val="44"/>
          <w:szCs w:val="44"/>
          <w:highlight w:val="none"/>
          <w:lang w:val="en-US" w:eastAsia="zh-CN"/>
        </w:rPr>
      </w:pPr>
      <w:r>
        <w:rPr>
          <w:rFonts w:hint="default" w:ascii="宋体" w:hAnsi="宋体" w:eastAsia="方正小标宋_GBK" w:cs="Times New Roman"/>
          <w:b w:val="0"/>
          <w:bCs w:val="0"/>
          <w:color w:val="auto"/>
          <w:sz w:val="44"/>
          <w:szCs w:val="44"/>
          <w:highlight w:val="none"/>
          <w:lang w:val="en-US" w:eastAsia="zh-CN"/>
        </w:rPr>
        <w:t>第二师铁门关市成品油零售体系</w:t>
      </w:r>
    </w:p>
    <w:p>
      <w:pPr>
        <w:pageBreakBefore w:val="0"/>
        <w:kinsoku/>
        <w:wordWrap/>
        <w:overflowPunct/>
        <w:topLinePunct w:val="0"/>
        <w:autoSpaceDE/>
        <w:autoSpaceDN/>
        <w:bidi w:val="0"/>
        <w:spacing w:line="560" w:lineRule="exact"/>
        <w:ind w:left="0" w:leftChars="0" w:firstLine="0" w:firstLineChars="0"/>
        <w:jc w:val="center"/>
        <w:textAlignment w:val="auto"/>
        <w:rPr>
          <w:rFonts w:hint="default" w:ascii="宋体" w:hAnsi="宋体" w:eastAsia="方正小标宋_GBK" w:cs="Times New Roman"/>
          <w:b w:val="0"/>
          <w:bCs w:val="0"/>
          <w:color w:val="auto"/>
          <w:sz w:val="44"/>
          <w:szCs w:val="44"/>
          <w:highlight w:val="none"/>
        </w:rPr>
      </w:pPr>
      <w:r>
        <w:rPr>
          <w:rFonts w:hint="eastAsia" w:ascii="宋体" w:hAnsi="宋体" w:eastAsia="方正小标宋_GBK" w:cs="Times New Roman"/>
          <w:b w:val="0"/>
          <w:bCs w:val="0"/>
          <w:color w:val="auto"/>
          <w:sz w:val="44"/>
          <w:szCs w:val="44"/>
          <w:highlight w:val="none"/>
          <w:lang w:eastAsia="zh-CN"/>
        </w:rPr>
        <w:t>“</w:t>
      </w:r>
      <w:r>
        <w:rPr>
          <w:rFonts w:hint="default" w:ascii="宋体" w:hAnsi="宋体" w:eastAsia="方正小标宋_GBK" w:cs="Times New Roman"/>
          <w:b w:val="0"/>
          <w:bCs w:val="0"/>
          <w:color w:val="auto"/>
          <w:sz w:val="44"/>
          <w:szCs w:val="44"/>
          <w:highlight w:val="none"/>
        </w:rPr>
        <w:t>十四五</w:t>
      </w:r>
      <w:r>
        <w:rPr>
          <w:rFonts w:hint="eastAsia" w:ascii="宋体" w:hAnsi="宋体" w:eastAsia="方正小标宋_GBK" w:cs="Times New Roman"/>
          <w:b w:val="0"/>
          <w:bCs w:val="0"/>
          <w:color w:val="auto"/>
          <w:sz w:val="44"/>
          <w:szCs w:val="44"/>
          <w:highlight w:val="none"/>
          <w:lang w:eastAsia="zh-CN"/>
        </w:rPr>
        <w:t>”</w:t>
      </w:r>
      <w:r>
        <w:rPr>
          <w:rFonts w:hint="default" w:ascii="宋体" w:hAnsi="宋体" w:eastAsia="方正小标宋_GBK" w:cs="Times New Roman"/>
          <w:b w:val="0"/>
          <w:bCs w:val="0"/>
          <w:color w:val="auto"/>
          <w:sz w:val="44"/>
          <w:szCs w:val="44"/>
          <w:highlight w:val="none"/>
        </w:rPr>
        <w:t>规划</w:t>
      </w:r>
    </w:p>
    <w:p>
      <w:pPr>
        <w:pageBreakBefore w:val="0"/>
        <w:kinsoku/>
        <w:wordWrap/>
        <w:overflowPunct/>
        <w:topLinePunct w:val="0"/>
        <w:autoSpaceDE/>
        <w:autoSpaceDN/>
        <w:bidi w:val="0"/>
        <w:spacing w:line="560" w:lineRule="exact"/>
        <w:textAlignment w:val="auto"/>
        <w:rPr>
          <w:rFonts w:hint="default" w:ascii="宋体" w:hAnsi="宋体" w:eastAsia="方正小标宋_GBK" w:cs="Times New Roman"/>
          <w:b/>
          <w:bCs/>
          <w:color w:val="auto"/>
          <w:sz w:val="44"/>
          <w:szCs w:val="44"/>
          <w:highlight w:val="none"/>
        </w:rPr>
      </w:pPr>
    </w:p>
    <w:p>
      <w:pPr>
        <w:snapToGrid w:val="0"/>
        <w:spacing w:before="312" w:beforeLines="100" w:line="700" w:lineRule="exact"/>
        <w:ind w:firstLine="2509" w:firstLineChars="500"/>
        <w:jc w:val="both"/>
        <w:rPr>
          <w:rFonts w:hint="default" w:ascii="宋体" w:hAnsi="宋体" w:eastAsia="黑体" w:cs="Times New Roman"/>
          <w:b/>
          <w:color w:val="auto"/>
          <w:spacing w:val="30"/>
          <w:sz w:val="44"/>
          <w:szCs w:val="44"/>
          <w:highlight w:val="none"/>
        </w:rPr>
      </w:pPr>
      <w:r>
        <w:rPr>
          <w:rFonts w:hint="default" w:ascii="宋体" w:hAnsi="宋体" w:eastAsia="黑体" w:cs="Times New Roman"/>
          <w:b/>
          <w:color w:val="auto"/>
          <w:spacing w:val="30"/>
          <w:sz w:val="44"/>
          <w:szCs w:val="44"/>
          <w:highlight w:val="none"/>
        </w:rPr>
        <w:t>(20</w:t>
      </w:r>
      <w:r>
        <w:rPr>
          <w:rFonts w:hint="default" w:ascii="宋体" w:hAnsi="宋体" w:eastAsia="黑体" w:cs="Times New Roman"/>
          <w:b/>
          <w:color w:val="auto"/>
          <w:spacing w:val="30"/>
          <w:sz w:val="44"/>
          <w:szCs w:val="44"/>
          <w:highlight w:val="none"/>
          <w:lang w:val="en-US" w:eastAsia="zh-CN"/>
        </w:rPr>
        <w:t>21</w:t>
      </w:r>
      <w:r>
        <w:rPr>
          <w:rFonts w:hint="default" w:ascii="宋体" w:hAnsi="宋体" w:eastAsia="黑体" w:cs="Times New Roman"/>
          <w:b/>
          <w:color w:val="auto"/>
          <w:spacing w:val="30"/>
          <w:sz w:val="44"/>
          <w:szCs w:val="44"/>
          <w:highlight w:val="none"/>
        </w:rPr>
        <w:t>-202</w:t>
      </w:r>
      <w:r>
        <w:rPr>
          <w:rFonts w:hint="default" w:ascii="宋体" w:hAnsi="宋体" w:eastAsia="黑体" w:cs="Times New Roman"/>
          <w:b/>
          <w:color w:val="auto"/>
          <w:spacing w:val="30"/>
          <w:sz w:val="44"/>
          <w:szCs w:val="44"/>
          <w:highlight w:val="none"/>
          <w:lang w:val="en-US" w:eastAsia="zh-CN"/>
        </w:rPr>
        <w:t>5</w:t>
      </w:r>
      <w:r>
        <w:rPr>
          <w:rFonts w:hint="default" w:ascii="宋体" w:hAnsi="宋体" w:eastAsia="黑体" w:cs="Times New Roman"/>
          <w:b/>
          <w:color w:val="auto"/>
          <w:spacing w:val="30"/>
          <w:sz w:val="44"/>
          <w:szCs w:val="44"/>
          <w:highlight w:val="none"/>
        </w:rPr>
        <w:t>年)</w:t>
      </w:r>
    </w:p>
    <w:p>
      <w:pPr>
        <w:pageBreakBefore w:val="0"/>
        <w:kinsoku/>
        <w:wordWrap/>
        <w:overflowPunct/>
        <w:topLinePunct w:val="0"/>
        <w:autoSpaceDE/>
        <w:autoSpaceDN/>
        <w:bidi w:val="0"/>
        <w:spacing w:line="560" w:lineRule="exact"/>
        <w:textAlignment w:val="auto"/>
        <w:rPr>
          <w:rFonts w:hint="default" w:ascii="宋体" w:hAnsi="宋体" w:eastAsia="方正小标宋_GBK" w:cs="Times New Roman"/>
          <w:b/>
          <w:bCs/>
          <w:color w:val="auto"/>
          <w:sz w:val="44"/>
          <w:szCs w:val="44"/>
          <w:highlight w:val="none"/>
        </w:rPr>
      </w:pPr>
    </w:p>
    <w:p>
      <w:pPr>
        <w:pageBreakBefore w:val="0"/>
        <w:kinsoku/>
        <w:wordWrap/>
        <w:overflowPunct/>
        <w:topLinePunct w:val="0"/>
        <w:autoSpaceDE/>
        <w:autoSpaceDN/>
        <w:bidi w:val="0"/>
        <w:spacing w:line="560" w:lineRule="exact"/>
        <w:textAlignment w:val="auto"/>
        <w:rPr>
          <w:rFonts w:hint="default" w:ascii="宋体" w:hAnsi="宋体" w:cs="Times New Roman"/>
          <w:color w:val="auto"/>
          <w:sz w:val="44"/>
          <w:szCs w:val="44"/>
          <w:highlight w:val="none"/>
          <w:lang w:val="zh-CN"/>
        </w:rPr>
      </w:pPr>
    </w:p>
    <w:p>
      <w:pPr>
        <w:pStyle w:val="7"/>
        <w:pageBreakBefore w:val="0"/>
        <w:kinsoku/>
        <w:wordWrap/>
        <w:overflowPunct/>
        <w:topLinePunct w:val="0"/>
        <w:autoSpaceDE/>
        <w:autoSpaceDN/>
        <w:bidi w:val="0"/>
        <w:spacing w:line="560" w:lineRule="exact"/>
        <w:textAlignment w:val="auto"/>
        <w:rPr>
          <w:rFonts w:hint="default" w:ascii="宋体" w:hAnsi="宋体" w:cs="Times New Roman"/>
          <w:color w:val="auto"/>
          <w:sz w:val="44"/>
          <w:szCs w:val="44"/>
          <w:highlight w:val="none"/>
          <w:lang w:val="zh-CN"/>
        </w:rPr>
      </w:pPr>
    </w:p>
    <w:p>
      <w:pPr>
        <w:pageBreakBefore w:val="0"/>
        <w:kinsoku/>
        <w:wordWrap/>
        <w:overflowPunct/>
        <w:topLinePunct w:val="0"/>
        <w:autoSpaceDE/>
        <w:autoSpaceDN/>
        <w:bidi w:val="0"/>
        <w:spacing w:line="560" w:lineRule="exact"/>
        <w:textAlignment w:val="auto"/>
        <w:rPr>
          <w:rFonts w:hint="default" w:ascii="宋体" w:hAnsi="宋体" w:cs="Times New Roman"/>
          <w:color w:val="auto"/>
          <w:highlight w:val="none"/>
          <w:lang w:val="zh-CN"/>
        </w:rPr>
      </w:pPr>
    </w:p>
    <w:p>
      <w:pPr>
        <w:pStyle w:val="7"/>
        <w:pageBreakBefore w:val="0"/>
        <w:kinsoku/>
        <w:wordWrap/>
        <w:overflowPunct/>
        <w:topLinePunct w:val="0"/>
        <w:autoSpaceDE/>
        <w:autoSpaceDN/>
        <w:bidi w:val="0"/>
        <w:spacing w:line="560" w:lineRule="exact"/>
        <w:ind w:left="0" w:leftChars="0" w:firstLine="0" w:firstLineChars="0"/>
        <w:textAlignment w:val="auto"/>
        <w:rPr>
          <w:rFonts w:hint="default" w:ascii="宋体" w:hAnsi="宋体" w:cs="Times New Roman"/>
          <w:color w:val="auto"/>
          <w:highlight w:val="none"/>
          <w:lang w:val="zh-CN"/>
        </w:rPr>
      </w:pPr>
    </w:p>
    <w:p>
      <w:pPr>
        <w:pStyle w:val="7"/>
        <w:pageBreakBefore w:val="0"/>
        <w:kinsoku/>
        <w:wordWrap/>
        <w:overflowPunct/>
        <w:topLinePunct w:val="0"/>
        <w:autoSpaceDE/>
        <w:autoSpaceDN/>
        <w:bidi w:val="0"/>
        <w:spacing w:line="560" w:lineRule="exact"/>
        <w:textAlignment w:val="auto"/>
        <w:rPr>
          <w:rFonts w:hint="default" w:ascii="宋体" w:hAnsi="宋体" w:cs="Times New Roman"/>
          <w:color w:val="auto"/>
          <w:highlight w:val="none"/>
          <w:lang w:val="zh-CN"/>
        </w:rPr>
      </w:pPr>
    </w:p>
    <w:p>
      <w:pPr>
        <w:pageBreakBefore w:val="0"/>
        <w:kinsoku/>
        <w:wordWrap/>
        <w:overflowPunct/>
        <w:topLinePunct w:val="0"/>
        <w:autoSpaceDE/>
        <w:autoSpaceDN/>
        <w:bidi w:val="0"/>
        <w:spacing w:line="560" w:lineRule="exact"/>
        <w:textAlignment w:val="auto"/>
        <w:rPr>
          <w:rFonts w:hint="default" w:ascii="宋体" w:hAnsi="宋体" w:cs="Times New Roman"/>
          <w:color w:val="auto"/>
          <w:highlight w:val="none"/>
          <w:lang w:val="zh-CN"/>
        </w:rPr>
      </w:pPr>
    </w:p>
    <w:p>
      <w:pPr>
        <w:adjustRightInd w:val="0"/>
        <w:snapToGrid w:val="0"/>
        <w:spacing w:line="560" w:lineRule="exact"/>
        <w:jc w:val="center"/>
        <w:rPr>
          <w:rFonts w:hint="default" w:ascii="宋体" w:hAnsi="宋体" w:eastAsia="华文细黑" w:cs="Times New Roman"/>
          <w:bCs/>
          <w:color w:val="auto"/>
          <w:spacing w:val="106"/>
          <w:sz w:val="32"/>
          <w:szCs w:val="32"/>
          <w:highlight w:val="none"/>
        </w:rPr>
      </w:pPr>
    </w:p>
    <w:p>
      <w:pPr>
        <w:adjustRightInd w:val="0"/>
        <w:snapToGrid w:val="0"/>
        <w:spacing w:line="560" w:lineRule="exact"/>
        <w:jc w:val="center"/>
        <w:rPr>
          <w:rFonts w:hint="default" w:ascii="宋体" w:hAnsi="宋体" w:eastAsia="华文细黑" w:cs="Times New Roman"/>
          <w:bCs/>
          <w:color w:val="auto"/>
          <w:spacing w:val="106"/>
          <w:sz w:val="32"/>
          <w:szCs w:val="32"/>
          <w:highlight w:val="none"/>
        </w:rPr>
      </w:pPr>
    </w:p>
    <w:p>
      <w:pPr>
        <w:adjustRightInd w:val="0"/>
        <w:snapToGrid w:val="0"/>
        <w:spacing w:line="560" w:lineRule="exact"/>
        <w:jc w:val="center"/>
        <w:rPr>
          <w:rFonts w:hint="default" w:ascii="宋体" w:hAnsi="宋体" w:eastAsia="华文细黑" w:cs="Times New Roman"/>
          <w:bCs/>
          <w:color w:val="auto"/>
          <w:spacing w:val="106"/>
          <w:sz w:val="32"/>
          <w:szCs w:val="32"/>
          <w:highlight w:val="none"/>
        </w:rPr>
      </w:pPr>
    </w:p>
    <w:p>
      <w:pPr>
        <w:adjustRightInd w:val="0"/>
        <w:snapToGrid w:val="0"/>
        <w:spacing w:line="560" w:lineRule="exact"/>
        <w:jc w:val="center"/>
        <w:rPr>
          <w:rFonts w:hint="default" w:ascii="宋体" w:hAnsi="宋体" w:eastAsia="华文细黑" w:cs="Times New Roman"/>
          <w:bCs/>
          <w:color w:val="auto"/>
          <w:spacing w:val="106"/>
          <w:sz w:val="32"/>
          <w:szCs w:val="32"/>
          <w:highlight w:val="none"/>
        </w:rPr>
      </w:pPr>
    </w:p>
    <w:p>
      <w:pPr>
        <w:pageBreakBefore w:val="0"/>
        <w:kinsoku/>
        <w:wordWrap/>
        <w:overflowPunct/>
        <w:topLinePunct w:val="0"/>
        <w:autoSpaceDE/>
        <w:autoSpaceDN/>
        <w:bidi w:val="0"/>
        <w:spacing w:line="560" w:lineRule="exact"/>
        <w:ind w:left="0" w:leftChars="0" w:firstLine="0" w:firstLineChars="0"/>
        <w:jc w:val="center"/>
        <w:textAlignment w:val="auto"/>
        <w:rPr>
          <w:rFonts w:hint="default" w:ascii="宋体" w:hAnsi="宋体" w:eastAsia="方正小标宋_GBK" w:cs="Times New Roman"/>
          <w:color w:val="auto"/>
          <w:sz w:val="32"/>
          <w:szCs w:val="32"/>
          <w:highlight w:val="none"/>
          <w:lang w:val="en-US" w:eastAsia="zh-CN"/>
        </w:rPr>
      </w:pPr>
      <w:r>
        <w:rPr>
          <w:rFonts w:hint="default" w:ascii="宋体" w:hAnsi="宋体" w:eastAsia="方正小标宋_GBK" w:cs="Times New Roman"/>
          <w:color w:val="auto"/>
          <w:sz w:val="32"/>
          <w:szCs w:val="32"/>
          <w:highlight w:val="none"/>
          <w:lang w:val="en-US" w:eastAsia="zh-CN"/>
        </w:rPr>
        <w:t>第二师铁门关市商务局</w:t>
      </w:r>
    </w:p>
    <w:p>
      <w:pPr>
        <w:pageBreakBefore w:val="0"/>
        <w:kinsoku/>
        <w:wordWrap/>
        <w:overflowPunct/>
        <w:topLinePunct w:val="0"/>
        <w:autoSpaceDE/>
        <w:autoSpaceDN/>
        <w:bidi w:val="0"/>
        <w:spacing w:line="560" w:lineRule="exact"/>
        <w:ind w:left="0" w:leftChars="0" w:firstLine="0" w:firstLineChars="0"/>
        <w:jc w:val="center"/>
        <w:textAlignment w:val="auto"/>
        <w:rPr>
          <w:rFonts w:hint="default" w:ascii="宋体" w:hAnsi="宋体" w:eastAsia="方正小标宋_GBK" w:cs="Times New Roman"/>
          <w:color w:val="auto"/>
          <w:sz w:val="32"/>
          <w:szCs w:val="32"/>
          <w:highlight w:val="none"/>
          <w:lang w:val="zh-CN" w:eastAsia="zh-CN"/>
        </w:rPr>
      </w:pPr>
    </w:p>
    <w:p>
      <w:pPr>
        <w:pageBreakBefore w:val="0"/>
        <w:kinsoku/>
        <w:wordWrap/>
        <w:overflowPunct/>
        <w:topLinePunct w:val="0"/>
        <w:autoSpaceDE/>
        <w:autoSpaceDN/>
        <w:bidi w:val="0"/>
        <w:spacing w:line="560" w:lineRule="exact"/>
        <w:ind w:left="0" w:leftChars="0" w:firstLine="0" w:firstLineChars="0"/>
        <w:jc w:val="center"/>
        <w:textAlignment w:val="auto"/>
        <w:rPr>
          <w:rFonts w:hint="default" w:ascii="宋体" w:hAnsi="宋体" w:eastAsia="方正小标宋_GBK" w:cs="Times New Roman"/>
          <w:color w:val="auto"/>
          <w:sz w:val="32"/>
          <w:szCs w:val="32"/>
          <w:highlight w:val="none"/>
          <w:lang w:val="en-US" w:eastAsia="zh-CN"/>
        </w:rPr>
        <w:sectPr>
          <w:footerReference r:id="rId3" w:type="default"/>
          <w:pgSz w:w="11906" w:h="16838"/>
          <w:pgMar w:top="1440" w:right="1797" w:bottom="1440" w:left="1797" w:header="851" w:footer="992" w:gutter="0"/>
          <w:pgNumType w:fmt="lowerRoman" w:start="1"/>
          <w:cols w:space="720" w:num="1"/>
          <w:docGrid w:type="lines" w:linePitch="312" w:charSpace="0"/>
        </w:sectPr>
      </w:pPr>
      <w:r>
        <w:rPr>
          <w:rFonts w:hint="default" w:ascii="宋体" w:hAnsi="宋体" w:eastAsia="方正小标宋_GBK" w:cs="Times New Roman"/>
          <w:color w:val="auto"/>
          <w:sz w:val="32"/>
          <w:szCs w:val="32"/>
          <w:highlight w:val="none"/>
          <w:lang w:val="en-US" w:eastAsia="zh-CN"/>
        </w:rPr>
        <w:t>二〇二</w:t>
      </w:r>
      <w:r>
        <w:rPr>
          <w:rFonts w:hint="eastAsia" w:ascii="宋体" w:hAnsi="宋体" w:eastAsia="方正小标宋_GBK" w:cs="Times New Roman"/>
          <w:color w:val="auto"/>
          <w:sz w:val="32"/>
          <w:szCs w:val="32"/>
          <w:highlight w:val="none"/>
          <w:lang w:val="en-US" w:eastAsia="zh-CN"/>
        </w:rPr>
        <w:t>二</w:t>
      </w:r>
      <w:r>
        <w:rPr>
          <w:rFonts w:hint="default" w:ascii="宋体" w:hAnsi="宋体" w:eastAsia="方正小标宋_GBK" w:cs="Times New Roman"/>
          <w:color w:val="auto"/>
          <w:sz w:val="32"/>
          <w:szCs w:val="32"/>
          <w:highlight w:val="none"/>
          <w:lang w:val="en-US" w:eastAsia="zh-CN"/>
        </w:rPr>
        <w:t>年</w:t>
      </w:r>
      <w:r>
        <w:rPr>
          <w:rFonts w:hint="eastAsia" w:ascii="宋体" w:hAnsi="宋体" w:eastAsia="方正小标宋_GBK" w:cs="Times New Roman"/>
          <w:color w:val="auto"/>
          <w:sz w:val="32"/>
          <w:szCs w:val="32"/>
          <w:highlight w:val="none"/>
          <w:lang w:val="en-US" w:eastAsia="zh-CN"/>
        </w:rPr>
        <w:t>七</w:t>
      </w:r>
      <w:r>
        <w:rPr>
          <w:rFonts w:hint="default" w:ascii="宋体" w:hAnsi="宋体" w:eastAsia="方正小标宋_GBK" w:cs="Times New Roman"/>
          <w:color w:val="auto"/>
          <w:sz w:val="32"/>
          <w:szCs w:val="32"/>
          <w:highlight w:val="none"/>
          <w:lang w:val="en-US" w:eastAsia="zh-CN"/>
        </w:rPr>
        <w:t>月</w:t>
      </w:r>
    </w:p>
    <w:sdt>
      <w:sdtPr>
        <w:rPr>
          <w:rFonts w:hint="default" w:ascii="宋体" w:hAnsi="宋体" w:eastAsia="黑体" w:cs="Times New Roman"/>
          <w:b/>
          <w:bCs/>
          <w:color w:val="auto"/>
          <w:kern w:val="2"/>
          <w:sz w:val="32"/>
          <w:szCs w:val="32"/>
          <w:highlight w:val="none"/>
          <w:lang w:val="en-US" w:eastAsia="zh-CN" w:bidi="ar-SA"/>
        </w:rPr>
        <w:id w:val="147481756"/>
        <w15:color w:val="DBDBDB"/>
        <w:docPartObj>
          <w:docPartGallery w:val="Table of Contents"/>
          <w:docPartUnique/>
        </w:docPartObj>
      </w:sdtPr>
      <w:sdtEndPr>
        <w:rPr>
          <w:rFonts w:hint="default" w:ascii="宋体" w:hAnsi="宋体" w:eastAsia="仿宋" w:cs="Times New Roman"/>
          <w:b/>
          <w:bCs/>
          <w:color w:val="auto"/>
          <w:kern w:val="2"/>
          <w:sz w:val="32"/>
          <w:szCs w:val="32"/>
          <w:highlight w:val="none"/>
          <w:lang w:val="en-US" w:eastAsia="zh-CN" w:bidi="ar-SA"/>
        </w:rPr>
      </w:sdtEndPr>
      <w:sdtContent>
        <w:p>
          <w:pPr>
            <w:spacing w:before="0" w:beforeLines="0" w:after="0" w:afterLines="0" w:line="240" w:lineRule="auto"/>
            <w:ind w:left="0" w:leftChars="0" w:right="0" w:rightChars="0" w:firstLine="0" w:firstLineChars="0"/>
            <w:jc w:val="center"/>
            <w:rPr>
              <w:rFonts w:hint="default" w:ascii="宋体" w:hAnsi="宋体" w:eastAsia="黑体" w:cs="Times New Roman"/>
              <w:b/>
              <w:bCs/>
              <w:color w:val="auto"/>
              <w:sz w:val="32"/>
              <w:szCs w:val="32"/>
              <w:highlight w:val="none"/>
            </w:rPr>
          </w:pPr>
          <w:r>
            <w:rPr>
              <w:rFonts w:hint="default" w:ascii="宋体" w:hAnsi="宋体" w:eastAsia="黑体" w:cs="Times New Roman"/>
              <w:b/>
              <w:bCs/>
              <w:color w:val="auto"/>
              <w:sz w:val="32"/>
              <w:szCs w:val="32"/>
              <w:highlight w:val="none"/>
            </w:rPr>
            <w:t>目</w:t>
          </w:r>
          <w:r>
            <w:rPr>
              <w:rFonts w:hint="default" w:ascii="宋体" w:hAnsi="宋体" w:eastAsia="黑体" w:cs="Times New Roman"/>
              <w:b/>
              <w:bCs/>
              <w:color w:val="auto"/>
              <w:sz w:val="32"/>
              <w:szCs w:val="32"/>
              <w:highlight w:val="none"/>
              <w:lang w:val="en-US" w:eastAsia="zh-CN"/>
            </w:rPr>
            <w:t xml:space="preserve">  </w:t>
          </w:r>
          <w:r>
            <w:rPr>
              <w:rFonts w:hint="default" w:ascii="宋体" w:hAnsi="宋体" w:eastAsia="黑体" w:cs="Times New Roman"/>
              <w:b/>
              <w:bCs/>
              <w:color w:val="auto"/>
              <w:sz w:val="32"/>
              <w:szCs w:val="32"/>
              <w:highlight w:val="none"/>
            </w:rPr>
            <w:t>录</w:t>
          </w:r>
        </w:p>
        <w:p>
          <w:pPr>
            <w:pStyle w:val="11"/>
            <w:tabs>
              <w:tab w:val="right" w:leader="dot" w:pos="8365"/>
            </w:tabs>
            <w:rPr>
              <w:rFonts w:ascii="宋体" w:hAnsi="宋体"/>
            </w:rPr>
          </w:pPr>
          <w:r>
            <w:rPr>
              <w:rFonts w:hint="default" w:ascii="宋体" w:hAnsi="宋体" w:eastAsia="仿宋" w:cs="Times New Roman"/>
              <w:color w:val="auto"/>
              <w:sz w:val="30"/>
              <w:szCs w:val="30"/>
              <w:highlight w:val="none"/>
            </w:rPr>
            <w:fldChar w:fldCharType="begin"/>
          </w:r>
          <w:r>
            <w:rPr>
              <w:rFonts w:hint="default" w:ascii="宋体" w:hAnsi="宋体" w:eastAsia="仿宋" w:cs="Times New Roman"/>
              <w:color w:val="auto"/>
              <w:sz w:val="30"/>
              <w:szCs w:val="30"/>
              <w:highlight w:val="none"/>
            </w:rPr>
            <w:instrText xml:space="preserve">TOC \o "1-2" \h \u </w:instrText>
          </w:r>
          <w:r>
            <w:rPr>
              <w:rFonts w:hint="default" w:ascii="宋体" w:hAnsi="宋体" w:eastAsia="仿宋" w:cs="Times New Roman"/>
              <w:color w:val="auto"/>
              <w:sz w:val="30"/>
              <w:szCs w:val="30"/>
              <w:highlight w:val="none"/>
            </w:rPr>
            <w:fldChar w:fldCharType="separate"/>
          </w:r>
          <w:r>
            <w:rPr>
              <w:rFonts w:hint="default" w:ascii="宋体" w:hAnsi="宋体" w:eastAsia="仿宋" w:cs="Times New Roman"/>
              <w:b/>
              <w:bCs/>
              <w:color w:val="auto"/>
              <w:szCs w:val="30"/>
              <w:highlight w:val="none"/>
            </w:rPr>
            <w:fldChar w:fldCharType="begin"/>
          </w:r>
          <w:r>
            <w:rPr>
              <w:rFonts w:hint="default" w:ascii="宋体" w:hAnsi="宋体" w:eastAsia="仿宋" w:cs="Times New Roman"/>
              <w:b/>
              <w:bCs/>
              <w:szCs w:val="30"/>
              <w:highlight w:val="none"/>
            </w:rPr>
            <w:instrText xml:space="preserve"> HYPERLINK \l _Toc32224 </w:instrText>
          </w:r>
          <w:r>
            <w:rPr>
              <w:rFonts w:hint="default" w:ascii="宋体" w:hAnsi="宋体" w:eastAsia="仿宋" w:cs="Times New Roman"/>
              <w:b/>
              <w:bCs/>
              <w:szCs w:val="30"/>
              <w:highlight w:val="none"/>
            </w:rPr>
            <w:fldChar w:fldCharType="separate"/>
          </w:r>
          <w:r>
            <w:rPr>
              <w:rFonts w:hint="default" w:ascii="宋体" w:hAnsi="宋体" w:cs="Times New Roman"/>
              <w:b/>
              <w:bCs/>
              <w:highlight w:val="none"/>
              <w:lang w:val="en-US" w:eastAsia="zh-CN"/>
            </w:rPr>
            <w:t xml:space="preserve">前 </w:t>
          </w:r>
          <w:r>
            <w:rPr>
              <w:rFonts w:hint="eastAsia" w:ascii="宋体" w:hAnsi="宋体" w:cs="Times New Roman"/>
              <w:b/>
              <w:bCs/>
              <w:highlight w:val="none"/>
              <w:lang w:val="en-US" w:eastAsia="zh-CN"/>
            </w:rPr>
            <w:t xml:space="preserve"> </w:t>
          </w:r>
          <w:r>
            <w:rPr>
              <w:rFonts w:hint="default" w:ascii="宋体" w:hAnsi="宋体" w:cs="Times New Roman"/>
              <w:b/>
              <w:bCs/>
              <w:highlight w:val="none"/>
              <w:lang w:val="en-US" w:eastAsia="zh-CN"/>
            </w:rPr>
            <w:t>言</w:t>
          </w:r>
          <w:r>
            <w:rPr>
              <w:rFonts w:ascii="宋体" w:hAnsi="宋体"/>
              <w:b w:val="0"/>
              <w:bCs w:val="0"/>
            </w:rPr>
            <w:tab/>
          </w:r>
          <w:r>
            <w:rPr>
              <w:rFonts w:ascii="宋体" w:hAnsi="宋体"/>
              <w:b/>
              <w:bCs/>
            </w:rPr>
            <w:fldChar w:fldCharType="begin"/>
          </w:r>
          <w:r>
            <w:rPr>
              <w:rFonts w:ascii="宋体" w:hAnsi="宋体"/>
              <w:b/>
              <w:bCs/>
            </w:rPr>
            <w:instrText xml:space="preserve"> PAGEREF _Toc32224 \h </w:instrText>
          </w:r>
          <w:r>
            <w:rPr>
              <w:rFonts w:ascii="宋体" w:hAnsi="宋体"/>
              <w:b/>
              <w:bCs/>
            </w:rPr>
            <w:fldChar w:fldCharType="separate"/>
          </w:r>
          <w:r>
            <w:rPr>
              <w:rFonts w:ascii="宋体" w:hAnsi="宋体"/>
              <w:b/>
              <w:bCs/>
            </w:rPr>
            <w:t>- 1 -</w:t>
          </w:r>
          <w:r>
            <w:rPr>
              <w:rFonts w:ascii="宋体" w:hAnsi="宋体"/>
              <w:b/>
              <w:bCs/>
            </w:rPr>
            <w:fldChar w:fldCharType="end"/>
          </w:r>
          <w:r>
            <w:rPr>
              <w:rFonts w:hint="default" w:ascii="宋体" w:hAnsi="宋体" w:eastAsia="仿宋" w:cs="Times New Roman"/>
              <w:b/>
              <w:bCs/>
              <w:color w:val="auto"/>
              <w:szCs w:val="30"/>
              <w:highlight w:val="none"/>
            </w:rPr>
            <w:fldChar w:fldCharType="end"/>
          </w:r>
        </w:p>
        <w:p>
          <w:pPr>
            <w:pStyle w:val="11"/>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_Toc22051 </w:instrText>
          </w:r>
          <w:r>
            <w:rPr>
              <w:rFonts w:hint="default" w:ascii="宋体" w:hAnsi="宋体" w:eastAsia="仿宋" w:cs="Times New Roman"/>
              <w:szCs w:val="30"/>
              <w:highlight w:val="none"/>
            </w:rPr>
            <w:fldChar w:fldCharType="separate"/>
          </w:r>
          <w:r>
            <w:rPr>
              <w:rFonts w:hint="eastAsia" w:ascii="宋体" w:hAnsi="宋体" w:cs="Times New Roman"/>
              <w:b/>
              <w:bCs/>
              <w:lang w:val="en-US" w:eastAsia="zh-CN"/>
            </w:rPr>
            <w:t xml:space="preserve">第一章 </w:t>
          </w:r>
          <w:r>
            <w:rPr>
              <w:rFonts w:hint="default" w:ascii="宋体" w:hAnsi="宋体" w:cs="Times New Roman"/>
              <w:b/>
              <w:bCs/>
              <w:highlight w:val="none"/>
              <w:lang w:val="en-US" w:eastAsia="zh-CN"/>
            </w:rPr>
            <w:t>发展形势</w:t>
          </w:r>
          <w:r>
            <w:rPr>
              <w:rFonts w:ascii="宋体" w:hAnsi="宋体"/>
            </w:rPr>
            <w:tab/>
          </w:r>
          <w:r>
            <w:rPr>
              <w:rFonts w:ascii="宋体" w:hAnsi="宋体"/>
            </w:rPr>
            <w:fldChar w:fldCharType="begin"/>
          </w:r>
          <w:r>
            <w:rPr>
              <w:rFonts w:ascii="宋体" w:hAnsi="宋体"/>
            </w:rPr>
            <w:instrText xml:space="preserve"> PAGEREF _Toc22051 \h </w:instrText>
          </w:r>
          <w:r>
            <w:rPr>
              <w:rFonts w:ascii="宋体" w:hAnsi="宋体"/>
            </w:rPr>
            <w:fldChar w:fldCharType="separate"/>
          </w:r>
          <w:r>
            <w:rPr>
              <w:rFonts w:ascii="宋体" w:hAnsi="宋体"/>
            </w:rPr>
            <w:t>- 3 -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_Toc13601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第一节 </w:t>
          </w:r>
          <w:r>
            <w:rPr>
              <w:rFonts w:hint="eastAsia" w:ascii="宋体" w:hAnsi="宋体" w:cs="Times New Roman"/>
              <w:highlight w:val="none"/>
              <w:lang w:val="en-US" w:eastAsia="zh-CN"/>
            </w:rPr>
            <w:t>“</w:t>
          </w:r>
          <w:r>
            <w:rPr>
              <w:rFonts w:hint="default" w:ascii="宋体" w:hAnsi="宋体" w:cs="Times New Roman"/>
              <w:highlight w:val="none"/>
              <w:lang w:val="en-US" w:eastAsia="zh-CN"/>
            </w:rPr>
            <w:t>十三五</w:t>
          </w:r>
          <w:r>
            <w:rPr>
              <w:rFonts w:hint="eastAsia" w:ascii="宋体" w:hAnsi="宋体" w:cs="Times New Roman"/>
              <w:highlight w:val="none"/>
              <w:lang w:val="en-US" w:eastAsia="zh-CN"/>
            </w:rPr>
            <w:t>”</w:t>
          </w:r>
          <w:r>
            <w:rPr>
              <w:rFonts w:hint="default" w:ascii="宋体" w:hAnsi="宋体" w:cs="Times New Roman"/>
              <w:highlight w:val="none"/>
              <w:lang w:val="en-US" w:eastAsia="zh-CN"/>
            </w:rPr>
            <w:t>期间发展概况</w:t>
          </w:r>
          <w:r>
            <w:rPr>
              <w:rFonts w:ascii="宋体" w:hAnsi="宋体"/>
            </w:rPr>
            <w:tab/>
          </w:r>
          <w:r>
            <w:rPr>
              <w:rFonts w:ascii="宋体" w:hAnsi="宋体"/>
            </w:rPr>
            <w:fldChar w:fldCharType="begin"/>
          </w:r>
          <w:r>
            <w:rPr>
              <w:rFonts w:ascii="宋体" w:hAnsi="宋体"/>
            </w:rPr>
            <w:instrText xml:space="preserve"> PAGEREF _Toc13601 \h </w:instrText>
          </w:r>
          <w:r>
            <w:rPr>
              <w:rFonts w:ascii="宋体" w:hAnsi="宋体"/>
            </w:rPr>
            <w:fldChar w:fldCharType="separate"/>
          </w:r>
          <w:r>
            <w:rPr>
              <w:rFonts w:ascii="宋体" w:hAnsi="宋体"/>
            </w:rPr>
            <w:t>- 3 -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_Toc27591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第二节 </w:t>
          </w:r>
          <w:r>
            <w:rPr>
              <w:rFonts w:hint="default" w:ascii="宋体" w:hAnsi="宋体" w:cs="Times New Roman"/>
              <w:highlight w:val="none"/>
              <w:lang w:val="en-US" w:eastAsia="zh-CN"/>
            </w:rPr>
            <w:t>存在的主要问题</w:t>
          </w:r>
          <w:r>
            <w:rPr>
              <w:rFonts w:ascii="宋体" w:hAnsi="宋体"/>
            </w:rPr>
            <w:tab/>
          </w:r>
          <w:r>
            <w:rPr>
              <w:rFonts w:ascii="宋体" w:hAnsi="宋体"/>
            </w:rPr>
            <w:fldChar w:fldCharType="begin"/>
          </w:r>
          <w:r>
            <w:rPr>
              <w:rFonts w:ascii="宋体" w:hAnsi="宋体"/>
            </w:rPr>
            <w:instrText xml:space="preserve"> PAGEREF _Toc27591 \h </w:instrText>
          </w:r>
          <w:r>
            <w:rPr>
              <w:rFonts w:ascii="宋体" w:hAnsi="宋体"/>
            </w:rPr>
            <w:fldChar w:fldCharType="separate"/>
          </w:r>
          <w:r>
            <w:rPr>
              <w:rFonts w:ascii="宋体" w:hAnsi="宋体"/>
            </w:rPr>
            <w:t>- 7 -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_Toc27690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第三节 </w:t>
          </w:r>
          <w:r>
            <w:rPr>
              <w:rFonts w:hint="default" w:ascii="宋体" w:hAnsi="宋体" w:cs="Times New Roman"/>
              <w:highlight w:val="none"/>
              <w:lang w:val="en-US" w:eastAsia="zh-CN"/>
            </w:rPr>
            <w:t>面临形势</w:t>
          </w:r>
          <w:r>
            <w:rPr>
              <w:rFonts w:ascii="宋体" w:hAnsi="宋体"/>
            </w:rPr>
            <w:tab/>
          </w:r>
          <w:r>
            <w:rPr>
              <w:rFonts w:ascii="宋体" w:hAnsi="宋体"/>
            </w:rPr>
            <w:fldChar w:fldCharType="begin"/>
          </w:r>
          <w:r>
            <w:rPr>
              <w:rFonts w:ascii="宋体" w:hAnsi="宋体"/>
            </w:rPr>
            <w:instrText xml:space="preserve"> PAGEREF _Toc27690 \h </w:instrText>
          </w:r>
          <w:r>
            <w:rPr>
              <w:rFonts w:ascii="宋体" w:hAnsi="宋体"/>
            </w:rPr>
            <w:fldChar w:fldCharType="separate"/>
          </w:r>
          <w:r>
            <w:rPr>
              <w:rFonts w:ascii="宋体" w:hAnsi="宋体"/>
            </w:rPr>
            <w:t>- 9 -</w:t>
          </w:r>
          <w:r>
            <w:rPr>
              <w:rFonts w:ascii="宋体" w:hAnsi="宋体"/>
            </w:rPr>
            <w:fldChar w:fldCharType="end"/>
          </w:r>
          <w:r>
            <w:rPr>
              <w:rFonts w:hint="default" w:ascii="宋体" w:hAnsi="宋体" w:eastAsia="仿宋" w:cs="Times New Roman"/>
              <w:color w:val="auto"/>
              <w:szCs w:val="30"/>
              <w:highlight w:val="none"/>
            </w:rPr>
            <w:fldChar w:fldCharType="end"/>
          </w:r>
        </w:p>
        <w:p>
          <w:pPr>
            <w:pStyle w:val="11"/>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_Toc24685 </w:instrText>
          </w:r>
          <w:r>
            <w:rPr>
              <w:rFonts w:hint="default" w:ascii="宋体" w:hAnsi="宋体" w:eastAsia="仿宋" w:cs="Times New Roman"/>
              <w:szCs w:val="30"/>
              <w:highlight w:val="none"/>
            </w:rPr>
            <w:fldChar w:fldCharType="separate"/>
          </w:r>
          <w:r>
            <w:rPr>
              <w:rFonts w:hint="eastAsia" w:ascii="宋体" w:hAnsi="宋体" w:cs="Times New Roman"/>
              <w:b/>
              <w:bCs/>
              <w:lang w:val="en-US" w:eastAsia="zh-CN"/>
            </w:rPr>
            <w:t xml:space="preserve">第二章 </w:t>
          </w:r>
          <w:r>
            <w:rPr>
              <w:rFonts w:hint="default" w:ascii="宋体" w:hAnsi="宋体" w:cs="Times New Roman"/>
              <w:b/>
              <w:bCs/>
              <w:highlight w:val="none"/>
              <w:lang w:val="en-US" w:eastAsia="zh-CN"/>
            </w:rPr>
            <w:t>总体要求</w:t>
          </w:r>
          <w:r>
            <w:rPr>
              <w:rFonts w:ascii="宋体" w:hAnsi="宋体"/>
            </w:rPr>
            <w:tab/>
          </w:r>
          <w:r>
            <w:rPr>
              <w:rFonts w:ascii="宋体" w:hAnsi="宋体"/>
            </w:rPr>
            <w:fldChar w:fldCharType="begin"/>
          </w:r>
          <w:r>
            <w:rPr>
              <w:rFonts w:ascii="宋体" w:hAnsi="宋体"/>
            </w:rPr>
            <w:instrText xml:space="preserve"> PAGEREF _Toc24685 \h </w:instrText>
          </w:r>
          <w:r>
            <w:rPr>
              <w:rFonts w:ascii="宋体" w:hAnsi="宋体"/>
            </w:rPr>
            <w:fldChar w:fldCharType="separate"/>
          </w:r>
          <w:r>
            <w:rPr>
              <w:rFonts w:ascii="宋体" w:hAnsi="宋体"/>
            </w:rPr>
            <w:t>- 13 -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_Toc15369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第一节 </w:t>
          </w:r>
          <w:r>
            <w:rPr>
              <w:rFonts w:hint="default" w:ascii="宋体" w:hAnsi="宋体" w:cs="Times New Roman"/>
              <w:highlight w:val="none"/>
              <w:lang w:val="en-US" w:eastAsia="zh-CN"/>
            </w:rPr>
            <w:t>规划依据</w:t>
          </w:r>
          <w:r>
            <w:rPr>
              <w:rFonts w:ascii="宋体" w:hAnsi="宋体"/>
            </w:rPr>
            <w:tab/>
          </w:r>
          <w:r>
            <w:rPr>
              <w:rFonts w:ascii="宋体" w:hAnsi="宋体"/>
            </w:rPr>
            <w:fldChar w:fldCharType="begin"/>
          </w:r>
          <w:r>
            <w:rPr>
              <w:rFonts w:ascii="宋体" w:hAnsi="宋体"/>
            </w:rPr>
            <w:instrText xml:space="preserve"> PAGEREF _Toc15369 \h </w:instrText>
          </w:r>
          <w:r>
            <w:rPr>
              <w:rFonts w:ascii="宋体" w:hAnsi="宋体"/>
            </w:rPr>
            <w:fldChar w:fldCharType="separate"/>
          </w:r>
          <w:r>
            <w:rPr>
              <w:rFonts w:ascii="宋体" w:hAnsi="宋体"/>
            </w:rPr>
            <w:t>- 13 -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_Toc30200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第二节 </w:t>
          </w:r>
          <w:r>
            <w:rPr>
              <w:rFonts w:hint="default" w:ascii="宋体" w:hAnsi="宋体" w:cs="Times New Roman"/>
              <w:highlight w:val="none"/>
              <w:lang w:val="en-US" w:eastAsia="zh-CN"/>
            </w:rPr>
            <w:t>指导思想</w:t>
          </w:r>
          <w:r>
            <w:rPr>
              <w:rFonts w:ascii="宋体" w:hAnsi="宋体"/>
            </w:rPr>
            <w:tab/>
          </w:r>
          <w:r>
            <w:rPr>
              <w:rFonts w:ascii="宋体" w:hAnsi="宋体"/>
            </w:rPr>
            <w:fldChar w:fldCharType="begin"/>
          </w:r>
          <w:r>
            <w:rPr>
              <w:rFonts w:ascii="宋体" w:hAnsi="宋体"/>
            </w:rPr>
            <w:instrText xml:space="preserve"> PAGEREF _Toc30200 \h </w:instrText>
          </w:r>
          <w:r>
            <w:rPr>
              <w:rFonts w:ascii="宋体" w:hAnsi="宋体"/>
            </w:rPr>
            <w:fldChar w:fldCharType="separate"/>
          </w:r>
          <w:r>
            <w:rPr>
              <w:rFonts w:ascii="宋体" w:hAnsi="宋体"/>
            </w:rPr>
            <w:t>- 14 -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_Toc16407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第三节 </w:t>
          </w:r>
          <w:r>
            <w:rPr>
              <w:rFonts w:hint="default" w:ascii="宋体" w:hAnsi="宋体" w:cs="Times New Roman"/>
              <w:highlight w:val="none"/>
              <w:lang w:val="en-US" w:eastAsia="zh-CN"/>
            </w:rPr>
            <w:t>规划原则</w:t>
          </w:r>
          <w:r>
            <w:rPr>
              <w:rFonts w:ascii="宋体" w:hAnsi="宋体"/>
            </w:rPr>
            <w:tab/>
          </w:r>
          <w:r>
            <w:rPr>
              <w:rFonts w:ascii="宋体" w:hAnsi="宋体"/>
            </w:rPr>
            <w:fldChar w:fldCharType="begin"/>
          </w:r>
          <w:r>
            <w:rPr>
              <w:rFonts w:ascii="宋体" w:hAnsi="宋体"/>
            </w:rPr>
            <w:instrText xml:space="preserve"> PAGEREF _Toc16407 \h </w:instrText>
          </w:r>
          <w:r>
            <w:rPr>
              <w:rFonts w:ascii="宋体" w:hAnsi="宋体"/>
            </w:rPr>
            <w:fldChar w:fldCharType="separate"/>
          </w:r>
          <w:r>
            <w:rPr>
              <w:rFonts w:ascii="宋体" w:hAnsi="宋体"/>
            </w:rPr>
            <w:t>- 14 -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_Toc8041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第四节 </w:t>
          </w:r>
          <w:r>
            <w:rPr>
              <w:rFonts w:hint="default" w:ascii="宋体" w:hAnsi="宋体" w:cs="Times New Roman"/>
              <w:highlight w:val="none"/>
              <w:lang w:val="en-US" w:eastAsia="zh-CN"/>
            </w:rPr>
            <w:t>规划范围</w:t>
          </w:r>
          <w:r>
            <w:rPr>
              <w:rFonts w:ascii="宋体" w:hAnsi="宋体"/>
            </w:rPr>
            <w:tab/>
          </w:r>
          <w:r>
            <w:rPr>
              <w:rFonts w:ascii="宋体" w:hAnsi="宋体"/>
            </w:rPr>
            <w:fldChar w:fldCharType="begin"/>
          </w:r>
          <w:r>
            <w:rPr>
              <w:rFonts w:ascii="宋体" w:hAnsi="宋体"/>
            </w:rPr>
            <w:instrText xml:space="preserve"> PAGEREF _Toc8041 \h </w:instrText>
          </w:r>
          <w:r>
            <w:rPr>
              <w:rFonts w:ascii="宋体" w:hAnsi="宋体"/>
            </w:rPr>
            <w:fldChar w:fldCharType="separate"/>
          </w:r>
          <w:r>
            <w:rPr>
              <w:rFonts w:ascii="宋体" w:hAnsi="宋体"/>
            </w:rPr>
            <w:t>- 15 -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_Toc6163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第五节 </w:t>
          </w:r>
          <w:r>
            <w:rPr>
              <w:rFonts w:hint="default" w:ascii="宋体" w:hAnsi="宋体" w:cs="Times New Roman"/>
              <w:highlight w:val="none"/>
              <w:lang w:val="en-US" w:eastAsia="zh-CN"/>
            </w:rPr>
            <w:t>主要结论</w:t>
          </w:r>
          <w:r>
            <w:rPr>
              <w:rFonts w:ascii="宋体" w:hAnsi="宋体"/>
            </w:rPr>
            <w:tab/>
          </w:r>
          <w:r>
            <w:rPr>
              <w:rFonts w:ascii="宋体" w:hAnsi="宋体"/>
            </w:rPr>
            <w:fldChar w:fldCharType="begin"/>
          </w:r>
          <w:r>
            <w:rPr>
              <w:rFonts w:ascii="宋体" w:hAnsi="宋体"/>
            </w:rPr>
            <w:instrText xml:space="preserve"> PAGEREF _Toc6163 \h </w:instrText>
          </w:r>
          <w:r>
            <w:rPr>
              <w:rFonts w:ascii="宋体" w:hAnsi="宋体"/>
            </w:rPr>
            <w:fldChar w:fldCharType="separate"/>
          </w:r>
          <w:r>
            <w:rPr>
              <w:rFonts w:ascii="宋体" w:hAnsi="宋体"/>
            </w:rPr>
            <w:t>- 16 -</w:t>
          </w:r>
          <w:r>
            <w:rPr>
              <w:rFonts w:ascii="宋体" w:hAnsi="宋体"/>
            </w:rPr>
            <w:fldChar w:fldCharType="end"/>
          </w:r>
          <w:r>
            <w:rPr>
              <w:rFonts w:hint="default" w:ascii="宋体" w:hAnsi="宋体" w:eastAsia="仿宋" w:cs="Times New Roman"/>
              <w:color w:val="auto"/>
              <w:szCs w:val="30"/>
              <w:highlight w:val="none"/>
            </w:rPr>
            <w:fldChar w:fldCharType="end"/>
          </w:r>
        </w:p>
        <w:p>
          <w:pPr>
            <w:pStyle w:val="11"/>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_Toc15142 </w:instrText>
          </w:r>
          <w:r>
            <w:rPr>
              <w:rFonts w:hint="default" w:ascii="宋体" w:hAnsi="宋体" w:eastAsia="仿宋" w:cs="Times New Roman"/>
              <w:szCs w:val="30"/>
              <w:highlight w:val="none"/>
            </w:rPr>
            <w:fldChar w:fldCharType="separate"/>
          </w:r>
          <w:r>
            <w:rPr>
              <w:rFonts w:hint="eastAsia" w:ascii="宋体" w:hAnsi="宋体" w:cs="Times New Roman"/>
              <w:b/>
              <w:bCs/>
              <w:lang w:val="en-US" w:eastAsia="zh-CN"/>
            </w:rPr>
            <w:t xml:space="preserve">第三章 </w:t>
          </w:r>
          <w:r>
            <w:rPr>
              <w:rFonts w:hint="default" w:ascii="宋体" w:hAnsi="宋体" w:cs="Times New Roman"/>
              <w:b/>
              <w:bCs/>
              <w:highlight w:val="none"/>
              <w:lang w:val="en-US" w:eastAsia="zh-CN"/>
            </w:rPr>
            <w:t>成品油零售企业需求预测</w:t>
          </w:r>
          <w:r>
            <w:rPr>
              <w:rFonts w:ascii="宋体" w:hAnsi="宋体"/>
            </w:rPr>
            <w:tab/>
          </w:r>
          <w:r>
            <w:rPr>
              <w:rFonts w:ascii="宋体" w:hAnsi="宋体"/>
            </w:rPr>
            <w:fldChar w:fldCharType="begin"/>
          </w:r>
          <w:r>
            <w:rPr>
              <w:rFonts w:ascii="宋体" w:hAnsi="宋体"/>
            </w:rPr>
            <w:instrText xml:space="preserve"> PAGEREF _Toc15142 \h </w:instrText>
          </w:r>
          <w:r>
            <w:rPr>
              <w:rFonts w:ascii="宋体" w:hAnsi="宋体"/>
            </w:rPr>
            <w:fldChar w:fldCharType="separate"/>
          </w:r>
          <w:r>
            <w:rPr>
              <w:rFonts w:ascii="宋体" w:hAnsi="宋体"/>
            </w:rPr>
            <w:t>- 17 -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_Toc30696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第一节 </w:t>
          </w:r>
          <w:r>
            <w:rPr>
              <w:rFonts w:hint="default" w:ascii="宋体" w:hAnsi="宋体" w:cs="Times New Roman"/>
              <w:highlight w:val="none"/>
              <w:lang w:val="en-US" w:eastAsia="zh-CN"/>
            </w:rPr>
            <w:t>社会经济发展趋势预测分析</w:t>
          </w:r>
          <w:r>
            <w:rPr>
              <w:rFonts w:ascii="宋体" w:hAnsi="宋体"/>
            </w:rPr>
            <w:tab/>
          </w:r>
          <w:r>
            <w:rPr>
              <w:rFonts w:ascii="宋体" w:hAnsi="宋体"/>
            </w:rPr>
            <w:fldChar w:fldCharType="begin"/>
          </w:r>
          <w:r>
            <w:rPr>
              <w:rFonts w:ascii="宋体" w:hAnsi="宋体"/>
            </w:rPr>
            <w:instrText xml:space="preserve"> PAGEREF _Toc30696 \h </w:instrText>
          </w:r>
          <w:r>
            <w:rPr>
              <w:rFonts w:ascii="宋体" w:hAnsi="宋体"/>
            </w:rPr>
            <w:fldChar w:fldCharType="separate"/>
          </w:r>
          <w:r>
            <w:rPr>
              <w:rFonts w:ascii="宋体" w:hAnsi="宋体"/>
            </w:rPr>
            <w:t>- 17 -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_Toc10272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第二节 </w:t>
          </w:r>
          <w:r>
            <w:rPr>
              <w:rFonts w:hint="default" w:ascii="宋体" w:hAnsi="宋体" w:cs="Times New Roman"/>
              <w:highlight w:val="none"/>
              <w:lang w:val="en-US" w:eastAsia="zh-CN"/>
            </w:rPr>
            <w:t>道路交通发展规划</w:t>
          </w:r>
          <w:r>
            <w:rPr>
              <w:rFonts w:ascii="宋体" w:hAnsi="宋体"/>
            </w:rPr>
            <w:tab/>
          </w:r>
          <w:r>
            <w:rPr>
              <w:rFonts w:ascii="宋体" w:hAnsi="宋体"/>
            </w:rPr>
            <w:fldChar w:fldCharType="begin"/>
          </w:r>
          <w:r>
            <w:rPr>
              <w:rFonts w:ascii="宋体" w:hAnsi="宋体"/>
            </w:rPr>
            <w:instrText xml:space="preserve"> PAGEREF _Toc10272 \h </w:instrText>
          </w:r>
          <w:r>
            <w:rPr>
              <w:rFonts w:ascii="宋体" w:hAnsi="宋体"/>
            </w:rPr>
            <w:fldChar w:fldCharType="separate"/>
          </w:r>
          <w:r>
            <w:rPr>
              <w:rFonts w:ascii="宋体" w:hAnsi="宋体"/>
            </w:rPr>
            <w:t>- 17 -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_Toc6829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第三节 </w:t>
          </w:r>
          <w:r>
            <w:rPr>
              <w:rFonts w:hint="default" w:ascii="宋体" w:hAnsi="宋体" w:cs="Times New Roman"/>
              <w:highlight w:val="none"/>
              <w:lang w:val="en-US" w:eastAsia="zh-CN"/>
            </w:rPr>
            <w:t>机动车保有量发展趋势预测分析</w:t>
          </w:r>
          <w:r>
            <w:rPr>
              <w:rFonts w:ascii="宋体" w:hAnsi="宋体"/>
            </w:rPr>
            <w:tab/>
          </w:r>
          <w:r>
            <w:rPr>
              <w:rFonts w:ascii="宋体" w:hAnsi="宋体"/>
            </w:rPr>
            <w:fldChar w:fldCharType="begin"/>
          </w:r>
          <w:r>
            <w:rPr>
              <w:rFonts w:ascii="宋体" w:hAnsi="宋体"/>
            </w:rPr>
            <w:instrText xml:space="preserve"> PAGEREF _Toc6829 \h </w:instrText>
          </w:r>
          <w:r>
            <w:rPr>
              <w:rFonts w:ascii="宋体" w:hAnsi="宋体"/>
            </w:rPr>
            <w:fldChar w:fldCharType="separate"/>
          </w:r>
          <w:r>
            <w:rPr>
              <w:rFonts w:ascii="宋体" w:hAnsi="宋体"/>
            </w:rPr>
            <w:t>- 23 -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_Toc21844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第四节 </w:t>
          </w:r>
          <w:r>
            <w:rPr>
              <w:rFonts w:hint="default" w:ascii="宋体" w:hAnsi="宋体" w:cs="Times New Roman"/>
              <w:highlight w:val="none"/>
              <w:lang w:val="en-US" w:eastAsia="zh-CN"/>
            </w:rPr>
            <w:t>成品油零售企业销售量预测分析</w:t>
          </w:r>
          <w:r>
            <w:rPr>
              <w:rFonts w:ascii="宋体" w:hAnsi="宋体"/>
            </w:rPr>
            <w:tab/>
          </w:r>
          <w:r>
            <w:rPr>
              <w:rFonts w:ascii="宋体" w:hAnsi="宋体"/>
            </w:rPr>
            <w:fldChar w:fldCharType="begin"/>
          </w:r>
          <w:r>
            <w:rPr>
              <w:rFonts w:ascii="宋体" w:hAnsi="宋体"/>
            </w:rPr>
            <w:instrText xml:space="preserve"> PAGEREF _Toc21844 \h </w:instrText>
          </w:r>
          <w:r>
            <w:rPr>
              <w:rFonts w:ascii="宋体" w:hAnsi="宋体"/>
            </w:rPr>
            <w:fldChar w:fldCharType="separate"/>
          </w:r>
          <w:r>
            <w:rPr>
              <w:rFonts w:ascii="宋体" w:hAnsi="宋体"/>
            </w:rPr>
            <w:t>- 25 -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_Toc23207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第五节 </w:t>
          </w:r>
          <w:r>
            <w:rPr>
              <w:rFonts w:hint="default" w:ascii="宋体" w:hAnsi="宋体" w:cs="Times New Roman"/>
              <w:highlight w:val="none"/>
              <w:lang w:val="en-US" w:eastAsia="zh-CN"/>
            </w:rPr>
            <w:t>成品油零售企业需求预测分析</w:t>
          </w:r>
          <w:r>
            <w:rPr>
              <w:rFonts w:ascii="宋体" w:hAnsi="宋体"/>
            </w:rPr>
            <w:tab/>
          </w:r>
          <w:r>
            <w:rPr>
              <w:rFonts w:ascii="宋体" w:hAnsi="宋体"/>
            </w:rPr>
            <w:fldChar w:fldCharType="begin"/>
          </w:r>
          <w:r>
            <w:rPr>
              <w:rFonts w:ascii="宋体" w:hAnsi="宋体"/>
            </w:rPr>
            <w:instrText xml:space="preserve"> PAGEREF _Toc23207 \h </w:instrText>
          </w:r>
          <w:r>
            <w:rPr>
              <w:rFonts w:ascii="宋体" w:hAnsi="宋体"/>
            </w:rPr>
            <w:fldChar w:fldCharType="separate"/>
          </w:r>
          <w:r>
            <w:rPr>
              <w:rFonts w:ascii="宋体" w:hAnsi="宋体"/>
            </w:rPr>
            <w:t>- 27 -</w:t>
          </w:r>
          <w:r>
            <w:rPr>
              <w:rFonts w:ascii="宋体" w:hAnsi="宋体"/>
            </w:rPr>
            <w:fldChar w:fldCharType="end"/>
          </w:r>
          <w:r>
            <w:rPr>
              <w:rFonts w:hint="default" w:ascii="宋体" w:hAnsi="宋体" w:eastAsia="仿宋" w:cs="Times New Roman"/>
              <w:color w:val="auto"/>
              <w:szCs w:val="30"/>
              <w:highlight w:val="none"/>
            </w:rPr>
            <w:fldChar w:fldCharType="end"/>
          </w:r>
        </w:p>
        <w:p>
          <w:pPr>
            <w:pStyle w:val="11"/>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_Toc9798 </w:instrText>
          </w:r>
          <w:r>
            <w:rPr>
              <w:rFonts w:hint="default" w:ascii="宋体" w:hAnsi="宋体" w:eastAsia="仿宋" w:cs="Times New Roman"/>
              <w:szCs w:val="30"/>
              <w:highlight w:val="none"/>
            </w:rPr>
            <w:fldChar w:fldCharType="separate"/>
          </w:r>
          <w:r>
            <w:rPr>
              <w:rFonts w:hint="eastAsia" w:ascii="宋体" w:hAnsi="宋体" w:cs="Times New Roman"/>
              <w:b/>
              <w:bCs/>
              <w:lang w:val="en-US" w:eastAsia="zh-CN"/>
            </w:rPr>
            <w:t xml:space="preserve">第四章 </w:t>
          </w:r>
          <w:r>
            <w:rPr>
              <w:rFonts w:hint="default" w:ascii="宋体" w:hAnsi="宋体" w:cs="Times New Roman"/>
              <w:b/>
              <w:bCs/>
              <w:highlight w:val="none"/>
              <w:lang w:val="en-US" w:eastAsia="zh-CN"/>
            </w:rPr>
            <w:t>成品油零售体系布局规划</w:t>
          </w:r>
          <w:r>
            <w:rPr>
              <w:rFonts w:ascii="宋体" w:hAnsi="宋体"/>
            </w:rPr>
            <w:tab/>
          </w:r>
          <w:r>
            <w:rPr>
              <w:rFonts w:ascii="宋体" w:hAnsi="宋体"/>
            </w:rPr>
            <w:fldChar w:fldCharType="begin"/>
          </w:r>
          <w:r>
            <w:rPr>
              <w:rFonts w:ascii="宋体" w:hAnsi="宋体"/>
            </w:rPr>
            <w:instrText xml:space="preserve"> PAGEREF _Toc9798 \h </w:instrText>
          </w:r>
          <w:r>
            <w:rPr>
              <w:rFonts w:ascii="宋体" w:hAnsi="宋体"/>
            </w:rPr>
            <w:fldChar w:fldCharType="separate"/>
          </w:r>
          <w:r>
            <w:rPr>
              <w:rFonts w:ascii="宋体" w:hAnsi="宋体"/>
            </w:rPr>
            <w:t>- 28 -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_Toc32337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第一节 </w:t>
          </w:r>
          <w:r>
            <w:rPr>
              <w:rFonts w:hint="default" w:ascii="宋体" w:hAnsi="宋体" w:cs="Times New Roman"/>
              <w:highlight w:val="none"/>
              <w:lang w:val="en-US" w:eastAsia="zh-CN"/>
            </w:rPr>
            <w:t>规划总体目标</w:t>
          </w:r>
          <w:r>
            <w:rPr>
              <w:rFonts w:ascii="宋体" w:hAnsi="宋体"/>
            </w:rPr>
            <w:tab/>
          </w:r>
          <w:r>
            <w:rPr>
              <w:rFonts w:ascii="宋体" w:hAnsi="宋体"/>
            </w:rPr>
            <w:fldChar w:fldCharType="begin"/>
          </w:r>
          <w:r>
            <w:rPr>
              <w:rFonts w:ascii="宋体" w:hAnsi="宋体"/>
            </w:rPr>
            <w:instrText xml:space="preserve"> PAGEREF _Toc32337 \h </w:instrText>
          </w:r>
          <w:r>
            <w:rPr>
              <w:rFonts w:ascii="宋体" w:hAnsi="宋体"/>
            </w:rPr>
            <w:fldChar w:fldCharType="separate"/>
          </w:r>
          <w:r>
            <w:rPr>
              <w:rFonts w:ascii="宋体" w:hAnsi="宋体"/>
            </w:rPr>
            <w:t>- 28 -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_Toc7269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第二节 </w:t>
          </w:r>
          <w:r>
            <w:rPr>
              <w:rFonts w:hint="default" w:ascii="宋体" w:hAnsi="宋体" w:cs="Times New Roman"/>
              <w:highlight w:val="none"/>
              <w:lang w:val="en-US" w:eastAsia="zh-CN"/>
            </w:rPr>
            <w:t>规划布局原则</w:t>
          </w:r>
          <w:r>
            <w:rPr>
              <w:rFonts w:ascii="宋体" w:hAnsi="宋体"/>
            </w:rPr>
            <w:tab/>
          </w:r>
          <w:r>
            <w:rPr>
              <w:rFonts w:ascii="宋体" w:hAnsi="宋体"/>
            </w:rPr>
            <w:fldChar w:fldCharType="begin"/>
          </w:r>
          <w:r>
            <w:rPr>
              <w:rFonts w:ascii="宋体" w:hAnsi="宋体"/>
            </w:rPr>
            <w:instrText xml:space="preserve"> PAGEREF _Toc7269 \h </w:instrText>
          </w:r>
          <w:r>
            <w:rPr>
              <w:rFonts w:ascii="宋体" w:hAnsi="宋体"/>
            </w:rPr>
            <w:fldChar w:fldCharType="separate"/>
          </w:r>
          <w:r>
            <w:rPr>
              <w:rFonts w:ascii="宋体" w:hAnsi="宋体"/>
            </w:rPr>
            <w:t>- 28 -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_Toc2747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第三节 </w:t>
          </w:r>
          <w:r>
            <w:rPr>
              <w:rFonts w:hint="default" w:ascii="宋体" w:hAnsi="宋体" w:cs="Times New Roman"/>
              <w:highlight w:val="none"/>
              <w:lang w:val="en-US" w:eastAsia="zh-CN"/>
            </w:rPr>
            <w:t>油站建设标准</w:t>
          </w:r>
          <w:r>
            <w:rPr>
              <w:rFonts w:ascii="宋体" w:hAnsi="宋体"/>
            </w:rPr>
            <w:tab/>
          </w:r>
          <w:r>
            <w:rPr>
              <w:rFonts w:ascii="宋体" w:hAnsi="宋体"/>
            </w:rPr>
            <w:fldChar w:fldCharType="begin"/>
          </w:r>
          <w:r>
            <w:rPr>
              <w:rFonts w:ascii="宋体" w:hAnsi="宋体"/>
            </w:rPr>
            <w:instrText xml:space="preserve"> PAGEREF _Toc2747 \h </w:instrText>
          </w:r>
          <w:r>
            <w:rPr>
              <w:rFonts w:ascii="宋体" w:hAnsi="宋体"/>
            </w:rPr>
            <w:fldChar w:fldCharType="separate"/>
          </w:r>
          <w:r>
            <w:rPr>
              <w:rFonts w:ascii="宋体" w:hAnsi="宋体"/>
            </w:rPr>
            <w:t>- 30 -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_Toc29816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第四节 </w:t>
          </w:r>
          <w:r>
            <w:rPr>
              <w:rFonts w:hint="default" w:ascii="宋体" w:hAnsi="宋体" w:cs="Times New Roman"/>
              <w:bCs w:val="0"/>
              <w:highlight w:val="none"/>
              <w:lang w:val="en-US" w:eastAsia="zh-CN"/>
            </w:rPr>
            <w:t>布局重点区域</w:t>
          </w:r>
          <w:r>
            <w:rPr>
              <w:rFonts w:ascii="宋体" w:hAnsi="宋体"/>
            </w:rPr>
            <w:tab/>
          </w:r>
          <w:r>
            <w:rPr>
              <w:rFonts w:ascii="宋体" w:hAnsi="宋体"/>
            </w:rPr>
            <w:fldChar w:fldCharType="begin"/>
          </w:r>
          <w:r>
            <w:rPr>
              <w:rFonts w:ascii="宋体" w:hAnsi="宋体"/>
            </w:rPr>
            <w:instrText xml:space="preserve"> PAGEREF _Toc29816 \h </w:instrText>
          </w:r>
          <w:r>
            <w:rPr>
              <w:rFonts w:ascii="宋体" w:hAnsi="宋体"/>
            </w:rPr>
            <w:fldChar w:fldCharType="separate"/>
          </w:r>
          <w:r>
            <w:rPr>
              <w:rFonts w:ascii="宋体" w:hAnsi="宋体"/>
            </w:rPr>
            <w:t>- 38 -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_Toc11704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第五节 </w:t>
          </w:r>
          <w:r>
            <w:rPr>
              <w:rFonts w:hint="default" w:ascii="宋体" w:hAnsi="宋体" w:cs="Times New Roman"/>
              <w:highlight w:val="none"/>
              <w:lang w:val="en-US" w:eastAsia="zh-CN"/>
            </w:rPr>
            <w:t>规划布局方案</w:t>
          </w:r>
          <w:r>
            <w:rPr>
              <w:rFonts w:ascii="宋体" w:hAnsi="宋体"/>
            </w:rPr>
            <w:tab/>
          </w:r>
          <w:r>
            <w:rPr>
              <w:rFonts w:ascii="宋体" w:hAnsi="宋体"/>
            </w:rPr>
            <w:fldChar w:fldCharType="begin"/>
          </w:r>
          <w:r>
            <w:rPr>
              <w:rFonts w:ascii="宋体" w:hAnsi="宋体"/>
            </w:rPr>
            <w:instrText xml:space="preserve"> PAGEREF _Toc11704 \h </w:instrText>
          </w:r>
          <w:r>
            <w:rPr>
              <w:rFonts w:ascii="宋体" w:hAnsi="宋体"/>
            </w:rPr>
            <w:fldChar w:fldCharType="separate"/>
          </w:r>
          <w:r>
            <w:rPr>
              <w:rFonts w:ascii="宋体" w:hAnsi="宋体"/>
            </w:rPr>
            <w:t>- 38 -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_Toc8322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第六节 </w:t>
          </w:r>
          <w:r>
            <w:rPr>
              <w:rFonts w:hint="default" w:ascii="宋体" w:hAnsi="宋体" w:cs="Times New Roman"/>
              <w:highlight w:val="none"/>
              <w:lang w:val="en-US" w:eastAsia="zh-CN"/>
            </w:rPr>
            <w:t>探索智慧型油站建设</w:t>
          </w:r>
          <w:r>
            <w:rPr>
              <w:rFonts w:ascii="宋体" w:hAnsi="宋体"/>
            </w:rPr>
            <w:tab/>
          </w:r>
          <w:r>
            <w:rPr>
              <w:rFonts w:ascii="宋体" w:hAnsi="宋体"/>
            </w:rPr>
            <w:fldChar w:fldCharType="begin"/>
          </w:r>
          <w:r>
            <w:rPr>
              <w:rFonts w:ascii="宋体" w:hAnsi="宋体"/>
            </w:rPr>
            <w:instrText xml:space="preserve"> PAGEREF _Toc8322 \h </w:instrText>
          </w:r>
          <w:r>
            <w:rPr>
              <w:rFonts w:ascii="宋体" w:hAnsi="宋体"/>
            </w:rPr>
            <w:fldChar w:fldCharType="separate"/>
          </w:r>
          <w:r>
            <w:rPr>
              <w:rFonts w:ascii="宋体" w:hAnsi="宋体"/>
            </w:rPr>
            <w:t>- 42 -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_Toc9913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第七节 </w:t>
          </w:r>
          <w:r>
            <w:rPr>
              <w:rFonts w:hint="default" w:ascii="宋体" w:hAnsi="宋体" w:cs="Times New Roman"/>
              <w:highlight w:val="none"/>
              <w:lang w:val="en-US" w:eastAsia="zh-CN"/>
            </w:rPr>
            <w:t>环境影响评价分析</w:t>
          </w:r>
          <w:r>
            <w:rPr>
              <w:rFonts w:ascii="宋体" w:hAnsi="宋体"/>
            </w:rPr>
            <w:tab/>
          </w:r>
          <w:r>
            <w:rPr>
              <w:rFonts w:ascii="宋体" w:hAnsi="宋体"/>
            </w:rPr>
            <w:fldChar w:fldCharType="begin"/>
          </w:r>
          <w:r>
            <w:rPr>
              <w:rFonts w:ascii="宋体" w:hAnsi="宋体"/>
            </w:rPr>
            <w:instrText xml:space="preserve"> PAGEREF _Toc9913 \h </w:instrText>
          </w:r>
          <w:r>
            <w:rPr>
              <w:rFonts w:ascii="宋体" w:hAnsi="宋体"/>
            </w:rPr>
            <w:fldChar w:fldCharType="separate"/>
          </w:r>
          <w:r>
            <w:rPr>
              <w:rFonts w:ascii="宋体" w:hAnsi="宋体"/>
            </w:rPr>
            <w:t>- 45 -</w:t>
          </w:r>
          <w:r>
            <w:rPr>
              <w:rFonts w:ascii="宋体" w:hAnsi="宋体"/>
            </w:rPr>
            <w:fldChar w:fldCharType="end"/>
          </w:r>
          <w:r>
            <w:rPr>
              <w:rFonts w:hint="default" w:ascii="宋体" w:hAnsi="宋体" w:eastAsia="仿宋" w:cs="Times New Roman"/>
              <w:color w:val="auto"/>
              <w:szCs w:val="30"/>
              <w:highlight w:val="none"/>
            </w:rPr>
            <w:fldChar w:fldCharType="end"/>
          </w:r>
        </w:p>
        <w:p>
          <w:pPr>
            <w:pStyle w:val="11"/>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_Toc2498 </w:instrText>
          </w:r>
          <w:r>
            <w:rPr>
              <w:rFonts w:hint="default" w:ascii="宋体" w:hAnsi="宋体" w:eastAsia="仿宋" w:cs="Times New Roman"/>
              <w:szCs w:val="30"/>
              <w:highlight w:val="none"/>
            </w:rPr>
            <w:fldChar w:fldCharType="separate"/>
          </w:r>
          <w:r>
            <w:rPr>
              <w:rFonts w:hint="eastAsia" w:ascii="宋体" w:hAnsi="宋体" w:cs="Times New Roman"/>
              <w:b/>
              <w:bCs/>
              <w:lang w:val="en-US" w:eastAsia="zh-CN"/>
            </w:rPr>
            <w:t xml:space="preserve">第五章 </w:t>
          </w:r>
          <w:r>
            <w:rPr>
              <w:rFonts w:hint="default" w:ascii="宋体" w:hAnsi="宋体" w:cs="Times New Roman"/>
              <w:b/>
              <w:bCs/>
              <w:highlight w:val="none"/>
              <w:lang w:val="en-US" w:eastAsia="zh-CN"/>
            </w:rPr>
            <w:t>规划实施保障措施</w:t>
          </w:r>
          <w:r>
            <w:rPr>
              <w:rFonts w:ascii="宋体" w:hAnsi="宋体"/>
            </w:rPr>
            <w:tab/>
          </w:r>
          <w:r>
            <w:rPr>
              <w:rFonts w:ascii="宋体" w:hAnsi="宋体"/>
            </w:rPr>
            <w:fldChar w:fldCharType="begin"/>
          </w:r>
          <w:r>
            <w:rPr>
              <w:rFonts w:ascii="宋体" w:hAnsi="宋体"/>
            </w:rPr>
            <w:instrText xml:space="preserve"> PAGEREF _Toc2498 \h </w:instrText>
          </w:r>
          <w:r>
            <w:rPr>
              <w:rFonts w:ascii="宋体" w:hAnsi="宋体"/>
            </w:rPr>
            <w:fldChar w:fldCharType="separate"/>
          </w:r>
          <w:r>
            <w:rPr>
              <w:rFonts w:ascii="宋体" w:hAnsi="宋体"/>
            </w:rPr>
            <w:t>- 53 -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_Toc2890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第一节 </w:t>
          </w:r>
          <w:r>
            <w:rPr>
              <w:rFonts w:hint="default" w:ascii="宋体" w:hAnsi="宋体" w:cs="Times New Roman"/>
              <w:highlight w:val="none"/>
              <w:lang w:val="en-US" w:eastAsia="zh-CN"/>
            </w:rPr>
            <w:t>加强组织领导，明确责任分工</w:t>
          </w:r>
          <w:r>
            <w:rPr>
              <w:rFonts w:ascii="宋体" w:hAnsi="宋体"/>
            </w:rPr>
            <w:tab/>
          </w:r>
          <w:r>
            <w:rPr>
              <w:rFonts w:ascii="宋体" w:hAnsi="宋体"/>
            </w:rPr>
            <w:fldChar w:fldCharType="begin"/>
          </w:r>
          <w:r>
            <w:rPr>
              <w:rFonts w:ascii="宋体" w:hAnsi="宋体"/>
            </w:rPr>
            <w:instrText xml:space="preserve"> PAGEREF _Toc2890 \h </w:instrText>
          </w:r>
          <w:r>
            <w:rPr>
              <w:rFonts w:ascii="宋体" w:hAnsi="宋体"/>
            </w:rPr>
            <w:fldChar w:fldCharType="separate"/>
          </w:r>
          <w:r>
            <w:rPr>
              <w:rFonts w:ascii="宋体" w:hAnsi="宋体"/>
            </w:rPr>
            <w:t>- 53 -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_Toc9147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第二节 </w:t>
          </w:r>
          <w:r>
            <w:rPr>
              <w:rFonts w:hint="default" w:ascii="宋体" w:hAnsi="宋体" w:cs="Times New Roman"/>
              <w:highlight w:val="none"/>
              <w:lang w:val="en-US" w:eastAsia="zh-CN"/>
            </w:rPr>
            <w:t>强化宣传引导，加大推进力度</w:t>
          </w:r>
          <w:r>
            <w:rPr>
              <w:rFonts w:ascii="宋体" w:hAnsi="宋体"/>
            </w:rPr>
            <w:tab/>
          </w:r>
          <w:r>
            <w:rPr>
              <w:rFonts w:ascii="宋体" w:hAnsi="宋体"/>
            </w:rPr>
            <w:fldChar w:fldCharType="begin"/>
          </w:r>
          <w:r>
            <w:rPr>
              <w:rFonts w:ascii="宋体" w:hAnsi="宋体"/>
            </w:rPr>
            <w:instrText xml:space="preserve"> PAGEREF _Toc9147 \h </w:instrText>
          </w:r>
          <w:r>
            <w:rPr>
              <w:rFonts w:ascii="宋体" w:hAnsi="宋体"/>
            </w:rPr>
            <w:fldChar w:fldCharType="separate"/>
          </w:r>
          <w:r>
            <w:rPr>
              <w:rFonts w:ascii="宋体" w:hAnsi="宋体"/>
            </w:rPr>
            <w:t>- 53 -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_Toc27773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第三节 </w:t>
          </w:r>
          <w:r>
            <w:rPr>
              <w:rFonts w:hint="default" w:ascii="宋体" w:hAnsi="宋体" w:cs="Times New Roman"/>
              <w:highlight w:val="none"/>
              <w:lang w:val="en-US" w:eastAsia="zh-CN"/>
            </w:rPr>
            <w:t>加强审批管理，严格市场准入</w:t>
          </w:r>
          <w:r>
            <w:rPr>
              <w:rFonts w:ascii="宋体" w:hAnsi="宋体"/>
            </w:rPr>
            <w:tab/>
          </w:r>
          <w:r>
            <w:rPr>
              <w:rFonts w:ascii="宋体" w:hAnsi="宋体"/>
            </w:rPr>
            <w:fldChar w:fldCharType="begin"/>
          </w:r>
          <w:r>
            <w:rPr>
              <w:rFonts w:ascii="宋体" w:hAnsi="宋体"/>
            </w:rPr>
            <w:instrText xml:space="preserve"> PAGEREF _Toc27773 \h </w:instrText>
          </w:r>
          <w:r>
            <w:rPr>
              <w:rFonts w:ascii="宋体" w:hAnsi="宋体"/>
            </w:rPr>
            <w:fldChar w:fldCharType="separate"/>
          </w:r>
          <w:r>
            <w:rPr>
              <w:rFonts w:ascii="宋体" w:hAnsi="宋体"/>
            </w:rPr>
            <w:t>- 54 -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_Toc24676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第四节 </w:t>
          </w:r>
          <w:r>
            <w:rPr>
              <w:rFonts w:hint="default" w:ascii="宋体" w:hAnsi="宋体" w:cs="Times New Roman"/>
              <w:highlight w:val="none"/>
              <w:lang w:val="en-US" w:eastAsia="zh-CN"/>
            </w:rPr>
            <w:t>不断健全规划落实和监督机制</w:t>
          </w:r>
          <w:r>
            <w:rPr>
              <w:rFonts w:ascii="宋体" w:hAnsi="宋体"/>
            </w:rPr>
            <w:tab/>
          </w:r>
          <w:r>
            <w:rPr>
              <w:rFonts w:ascii="宋体" w:hAnsi="宋体"/>
            </w:rPr>
            <w:fldChar w:fldCharType="begin"/>
          </w:r>
          <w:r>
            <w:rPr>
              <w:rFonts w:ascii="宋体" w:hAnsi="宋体"/>
            </w:rPr>
            <w:instrText xml:space="preserve"> PAGEREF _Toc24676 \h </w:instrText>
          </w:r>
          <w:r>
            <w:rPr>
              <w:rFonts w:ascii="宋体" w:hAnsi="宋体"/>
            </w:rPr>
            <w:fldChar w:fldCharType="separate"/>
          </w:r>
          <w:r>
            <w:rPr>
              <w:rFonts w:ascii="宋体" w:hAnsi="宋体"/>
            </w:rPr>
            <w:t>- 55 -</w:t>
          </w:r>
          <w:r>
            <w:rPr>
              <w:rFonts w:ascii="宋体" w:hAnsi="宋体"/>
            </w:rPr>
            <w:fldChar w:fldCharType="end"/>
          </w:r>
          <w:r>
            <w:rPr>
              <w:rFonts w:hint="default" w:ascii="宋体" w:hAnsi="宋体" w:eastAsia="仿宋" w:cs="Times New Roman"/>
              <w:color w:val="auto"/>
              <w:szCs w:val="30"/>
              <w:highlight w:val="none"/>
            </w:rPr>
            <w:fldChar w:fldCharType="end"/>
          </w:r>
        </w:p>
        <w:p>
          <w:pPr>
            <w:pStyle w:val="12"/>
            <w:tabs>
              <w:tab w:val="right" w:leader="dot" w:pos="8365"/>
            </w:tabs>
            <w:rPr>
              <w:rFonts w:ascii="宋体" w:hAnsi="宋体"/>
            </w:rPr>
          </w:pPr>
          <w:r>
            <w:rPr>
              <w:rFonts w:hint="default" w:ascii="宋体" w:hAnsi="宋体" w:eastAsia="仿宋" w:cs="Times New Roman"/>
              <w:color w:val="auto"/>
              <w:szCs w:val="30"/>
              <w:highlight w:val="none"/>
            </w:rPr>
            <w:fldChar w:fldCharType="begin"/>
          </w:r>
          <w:r>
            <w:rPr>
              <w:rFonts w:hint="default" w:ascii="宋体" w:hAnsi="宋体" w:eastAsia="仿宋" w:cs="Times New Roman"/>
              <w:szCs w:val="30"/>
              <w:highlight w:val="none"/>
            </w:rPr>
            <w:instrText xml:space="preserve"> HYPERLINK \l _Toc19672 </w:instrText>
          </w:r>
          <w:r>
            <w:rPr>
              <w:rFonts w:hint="default" w:ascii="宋体" w:hAnsi="宋体" w:eastAsia="仿宋" w:cs="Times New Roman"/>
              <w:szCs w:val="30"/>
              <w:highlight w:val="none"/>
            </w:rPr>
            <w:fldChar w:fldCharType="separate"/>
          </w:r>
          <w:r>
            <w:rPr>
              <w:rFonts w:hint="eastAsia" w:ascii="宋体" w:hAnsi="宋体" w:cs="Times New Roman"/>
              <w:lang w:val="en-US" w:eastAsia="zh-CN"/>
            </w:rPr>
            <w:t xml:space="preserve">第五节 </w:t>
          </w:r>
          <w:r>
            <w:rPr>
              <w:rFonts w:hint="default" w:ascii="宋体" w:hAnsi="宋体" w:cs="Times New Roman"/>
              <w:highlight w:val="none"/>
              <w:lang w:val="en-US" w:eastAsia="zh-CN"/>
            </w:rPr>
            <w:t>健全成品油零售体系安全监管</w:t>
          </w:r>
          <w:r>
            <w:rPr>
              <w:rFonts w:ascii="宋体" w:hAnsi="宋体"/>
            </w:rPr>
            <w:tab/>
          </w:r>
          <w:r>
            <w:rPr>
              <w:rFonts w:ascii="宋体" w:hAnsi="宋体"/>
            </w:rPr>
            <w:fldChar w:fldCharType="begin"/>
          </w:r>
          <w:r>
            <w:rPr>
              <w:rFonts w:ascii="宋体" w:hAnsi="宋体"/>
            </w:rPr>
            <w:instrText xml:space="preserve"> PAGEREF _Toc19672 \h </w:instrText>
          </w:r>
          <w:r>
            <w:rPr>
              <w:rFonts w:ascii="宋体" w:hAnsi="宋体"/>
            </w:rPr>
            <w:fldChar w:fldCharType="separate"/>
          </w:r>
          <w:r>
            <w:rPr>
              <w:rFonts w:ascii="宋体" w:hAnsi="宋体"/>
            </w:rPr>
            <w:t>- 56 -</w:t>
          </w:r>
          <w:r>
            <w:rPr>
              <w:rFonts w:ascii="宋体" w:hAnsi="宋体"/>
            </w:rPr>
            <w:fldChar w:fldCharType="end"/>
          </w:r>
          <w:r>
            <w:rPr>
              <w:rFonts w:hint="default" w:ascii="宋体" w:hAnsi="宋体" w:eastAsia="仿宋" w:cs="Times New Roman"/>
              <w:color w:val="auto"/>
              <w:szCs w:val="30"/>
              <w:highlight w:val="none"/>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宋体" w:hAnsi="宋体" w:cs="Times New Roman"/>
              <w:color w:val="auto"/>
              <w:highlight w:val="none"/>
            </w:rPr>
          </w:pPr>
          <w:r>
            <w:rPr>
              <w:rFonts w:hint="default" w:ascii="宋体" w:hAnsi="宋体" w:eastAsia="仿宋" w:cs="Times New Roman"/>
              <w:color w:val="auto"/>
              <w:szCs w:val="30"/>
              <w:highlight w:val="none"/>
            </w:rPr>
            <w:fldChar w:fldCharType="end"/>
          </w:r>
        </w:p>
      </w:sdtContent>
    </w:sdt>
    <w:p>
      <w:pPr>
        <w:pStyle w:val="2"/>
        <w:keepNext w:val="0"/>
        <w:keepLines w:val="0"/>
        <w:pageBreakBefore w:val="0"/>
        <w:widowControl w:val="0"/>
        <w:kinsoku/>
        <w:wordWrap/>
        <w:overflowPunct/>
        <w:topLinePunct w:val="0"/>
        <w:autoSpaceDE/>
        <w:autoSpaceDN/>
        <w:bidi w:val="0"/>
        <w:adjustRightInd/>
        <w:spacing w:line="30" w:lineRule="atLeast"/>
        <w:ind w:left="0" w:leftChars="0" w:firstLine="0" w:firstLineChars="0"/>
        <w:textAlignment w:val="auto"/>
        <w:rPr>
          <w:rFonts w:hint="eastAsia" w:ascii="宋体" w:hAnsi="宋体" w:cs="Times New Roman"/>
          <w:b/>
          <w:bCs/>
          <w:color w:val="auto"/>
          <w:highlight w:val="none"/>
          <w:lang w:val="en-US" w:eastAsia="zh-CN"/>
        </w:rPr>
      </w:pPr>
      <w:r>
        <w:rPr>
          <w:rFonts w:hint="eastAsia" w:ascii="宋体" w:hAnsi="宋体" w:cs="Times New Roman"/>
          <w:b/>
          <w:bCs/>
          <w:color w:val="auto"/>
          <w:highlight w:val="none"/>
          <w:lang w:val="en-US" w:eastAsia="zh-CN"/>
        </w:rPr>
        <w:t>附图</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0" w:lineRule="atLeast"/>
        <w:ind w:firstLine="640" w:firstLineChars="200"/>
        <w:textAlignment w:val="auto"/>
        <w:rPr>
          <w:rFonts w:hint="default" w:ascii="宋体" w:hAnsi="宋体" w:eastAsia="仿宋" w:cs="仿宋"/>
          <w:sz w:val="32"/>
          <w:szCs w:val="32"/>
          <w:lang w:val="en-US" w:eastAsia="zh-CN"/>
        </w:rPr>
      </w:pPr>
      <w:r>
        <w:rPr>
          <w:rFonts w:hint="eastAsia" w:ascii="宋体" w:hAnsi="宋体" w:cs="仿宋"/>
          <w:sz w:val="32"/>
          <w:szCs w:val="32"/>
          <w:lang w:val="en-US" w:eastAsia="zh-CN"/>
        </w:rPr>
        <w:t>1.</w:t>
      </w:r>
      <w:r>
        <w:rPr>
          <w:rFonts w:hint="default" w:ascii="宋体" w:hAnsi="宋体" w:eastAsia="仿宋" w:cs="仿宋"/>
          <w:sz w:val="32"/>
          <w:szCs w:val="32"/>
          <w:lang w:val="en-US" w:eastAsia="zh-CN"/>
        </w:rPr>
        <w:t>第二师铁门关市成品油零售体系</w:t>
      </w:r>
      <w:r>
        <w:rPr>
          <w:rFonts w:hint="eastAsia" w:ascii="宋体" w:hAnsi="宋体" w:eastAsia="仿宋" w:cs="仿宋"/>
          <w:sz w:val="32"/>
          <w:szCs w:val="32"/>
          <w:lang w:val="en-US" w:eastAsia="zh-CN"/>
        </w:rPr>
        <w:t>“</w:t>
      </w:r>
      <w:r>
        <w:rPr>
          <w:rFonts w:hint="default" w:ascii="宋体" w:hAnsi="宋体" w:eastAsia="仿宋" w:cs="仿宋"/>
          <w:sz w:val="32"/>
          <w:szCs w:val="32"/>
          <w:lang w:val="en-US" w:eastAsia="zh-CN"/>
        </w:rPr>
        <w:t>十</w:t>
      </w:r>
      <w:r>
        <w:rPr>
          <w:rFonts w:hint="eastAsia" w:ascii="宋体" w:hAnsi="宋体" w:cs="仿宋"/>
          <w:sz w:val="32"/>
          <w:szCs w:val="32"/>
          <w:lang w:val="en-US" w:eastAsia="zh-CN"/>
        </w:rPr>
        <w:t>三</w:t>
      </w:r>
      <w:r>
        <w:rPr>
          <w:rFonts w:hint="default" w:ascii="宋体" w:hAnsi="宋体" w:eastAsia="仿宋" w:cs="仿宋"/>
          <w:sz w:val="32"/>
          <w:szCs w:val="32"/>
          <w:lang w:val="en-US" w:eastAsia="zh-CN"/>
        </w:rPr>
        <w:t>五</w:t>
      </w:r>
      <w:r>
        <w:rPr>
          <w:rFonts w:hint="eastAsia" w:ascii="宋体" w:hAnsi="宋体" w:eastAsia="仿宋" w:cs="仿宋"/>
          <w:sz w:val="32"/>
          <w:szCs w:val="32"/>
          <w:lang w:val="en-US" w:eastAsia="zh-CN"/>
        </w:rPr>
        <w:t>”</w:t>
      </w:r>
      <w:r>
        <w:rPr>
          <w:rFonts w:hint="eastAsia" w:ascii="宋体" w:hAnsi="宋体" w:cs="仿宋"/>
          <w:sz w:val="32"/>
          <w:szCs w:val="32"/>
          <w:lang w:val="en-US" w:eastAsia="zh-CN"/>
        </w:rPr>
        <w:t>期间</w:t>
      </w:r>
      <w:r>
        <w:rPr>
          <w:rFonts w:hint="eastAsia" w:ascii="宋体" w:hAnsi="宋体" w:eastAsia="仿宋" w:cs="仿宋"/>
          <w:sz w:val="32"/>
          <w:szCs w:val="32"/>
          <w:lang w:val="en-US" w:eastAsia="zh-CN"/>
        </w:rPr>
        <w:t>加油站网点分布图</w:t>
      </w:r>
    </w:p>
    <w:p>
      <w:pPr>
        <w:keepNext w:val="0"/>
        <w:keepLines w:val="0"/>
        <w:pageBreakBefore w:val="0"/>
        <w:widowControl w:val="0"/>
        <w:numPr>
          <w:ilvl w:val="0"/>
          <w:numId w:val="0"/>
        </w:numPr>
        <w:kinsoku/>
        <w:wordWrap/>
        <w:overflowPunct/>
        <w:topLinePunct w:val="0"/>
        <w:autoSpaceDE/>
        <w:autoSpaceDN/>
        <w:bidi w:val="0"/>
        <w:adjustRightInd/>
        <w:snapToGrid/>
        <w:spacing w:before="1" w:line="30" w:lineRule="atLeast"/>
        <w:ind w:right="76" w:rightChars="0" w:firstLine="640" w:firstLineChars="200"/>
        <w:textAlignment w:val="auto"/>
        <w:rPr>
          <w:rFonts w:hint="eastAsia" w:ascii="宋体" w:hAnsi="宋体" w:eastAsia="仿宋" w:cs="仿宋"/>
          <w:sz w:val="32"/>
          <w:szCs w:val="32"/>
        </w:rPr>
      </w:pPr>
      <w:r>
        <w:rPr>
          <w:rFonts w:hint="eastAsia" w:ascii="宋体" w:hAnsi="宋体"/>
          <w:lang w:val="en-US" w:eastAsia="zh-CN"/>
        </w:rPr>
        <w:t>2.</w:t>
      </w:r>
      <w:r>
        <w:rPr>
          <w:rFonts w:hint="default" w:ascii="宋体" w:hAnsi="宋体" w:eastAsia="仿宋" w:cs="仿宋"/>
          <w:sz w:val="32"/>
          <w:szCs w:val="32"/>
          <w:lang w:val="en-US" w:eastAsia="zh-CN"/>
        </w:rPr>
        <w:t>第二师铁门关市成品油零售体系</w:t>
      </w:r>
      <w:r>
        <w:rPr>
          <w:rFonts w:hint="eastAsia" w:ascii="宋体" w:hAnsi="宋体" w:eastAsia="仿宋" w:cs="仿宋"/>
          <w:sz w:val="32"/>
          <w:szCs w:val="32"/>
          <w:lang w:eastAsia="zh-CN"/>
        </w:rPr>
        <w:t>“</w:t>
      </w:r>
      <w:r>
        <w:rPr>
          <w:rFonts w:hint="default" w:ascii="宋体" w:hAnsi="宋体" w:eastAsia="仿宋" w:cs="仿宋"/>
          <w:sz w:val="32"/>
          <w:szCs w:val="32"/>
        </w:rPr>
        <w:t>十四五</w:t>
      </w:r>
      <w:r>
        <w:rPr>
          <w:rFonts w:hint="eastAsia" w:ascii="宋体" w:hAnsi="宋体" w:eastAsia="仿宋" w:cs="仿宋"/>
          <w:sz w:val="32"/>
          <w:szCs w:val="32"/>
          <w:lang w:eastAsia="zh-CN"/>
        </w:rPr>
        <w:t>”</w:t>
      </w:r>
      <w:r>
        <w:rPr>
          <w:rFonts w:hint="eastAsia" w:ascii="宋体" w:hAnsi="宋体" w:eastAsia="仿宋" w:cs="仿宋"/>
          <w:sz w:val="32"/>
          <w:szCs w:val="32"/>
        </w:rPr>
        <w:t>规划加油站网点分布图</w:t>
      </w:r>
    </w:p>
    <w:p>
      <w:pPr>
        <w:pStyle w:val="2"/>
        <w:rPr>
          <w:rFonts w:hint="default" w:ascii="宋体" w:hAnsi="宋体"/>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pacing w:line="30" w:lineRule="atLeast"/>
        <w:textAlignment w:val="auto"/>
        <w:rPr>
          <w:rFonts w:hint="eastAsia" w:ascii="宋体" w:hAnsi="宋体" w:eastAsia="仿宋" w:cs="仿宋"/>
          <w:b/>
          <w:bCs/>
          <w:sz w:val="32"/>
          <w:szCs w:val="32"/>
          <w:lang w:val="en-US" w:eastAsia="zh-CN"/>
        </w:rPr>
      </w:pPr>
      <w:r>
        <w:rPr>
          <w:rFonts w:hint="eastAsia" w:ascii="宋体" w:hAnsi="宋体" w:eastAsia="仿宋" w:cs="仿宋"/>
          <w:b/>
          <w:bCs/>
          <w:sz w:val="32"/>
          <w:szCs w:val="32"/>
          <w:lang w:val="en-US" w:eastAsia="zh-CN"/>
        </w:rPr>
        <w:t>附件</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line="30" w:lineRule="atLeast"/>
        <w:ind w:firstLine="640" w:firstLineChars="200"/>
        <w:textAlignment w:val="auto"/>
        <w:rPr>
          <w:rFonts w:hint="default" w:ascii="宋体" w:hAnsi="宋体" w:eastAsia="仿宋" w:cs="仿宋"/>
          <w:sz w:val="32"/>
          <w:szCs w:val="32"/>
          <w:lang w:val="en-US" w:eastAsia="zh-CN"/>
        </w:rPr>
      </w:pPr>
      <w:r>
        <w:rPr>
          <w:rFonts w:hint="eastAsia" w:ascii="宋体" w:hAnsi="宋体" w:cs="仿宋"/>
          <w:sz w:val="32"/>
          <w:szCs w:val="32"/>
          <w:lang w:val="en-US" w:eastAsia="zh-CN"/>
        </w:rPr>
        <w:t>1.</w:t>
      </w:r>
      <w:r>
        <w:rPr>
          <w:rFonts w:hint="default" w:ascii="宋体" w:hAnsi="宋体" w:eastAsia="仿宋" w:cs="仿宋"/>
          <w:sz w:val="32"/>
          <w:szCs w:val="32"/>
          <w:lang w:val="en-US" w:eastAsia="zh-CN"/>
        </w:rPr>
        <w:t>加油站建设申请表</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line="30" w:lineRule="atLeast"/>
        <w:ind w:firstLine="640" w:firstLineChars="200"/>
        <w:textAlignment w:val="auto"/>
        <w:rPr>
          <w:rFonts w:hint="default" w:ascii="宋体" w:hAnsi="宋体" w:eastAsia="仿宋" w:cs="仿宋"/>
          <w:sz w:val="32"/>
          <w:szCs w:val="32"/>
          <w:lang w:val="en-US" w:eastAsia="zh-CN"/>
        </w:rPr>
      </w:pPr>
      <w:r>
        <w:rPr>
          <w:rFonts w:hint="eastAsia" w:ascii="宋体" w:hAnsi="宋体" w:cs="仿宋"/>
          <w:sz w:val="32"/>
          <w:szCs w:val="32"/>
          <w:lang w:val="en-US" w:eastAsia="zh-CN"/>
        </w:rPr>
        <w:t>2.</w:t>
      </w:r>
      <w:r>
        <w:rPr>
          <w:rFonts w:hint="default" w:ascii="宋体" w:hAnsi="宋体" w:eastAsia="仿宋" w:cs="仿宋"/>
          <w:sz w:val="32"/>
          <w:szCs w:val="32"/>
          <w:lang w:val="en-US" w:eastAsia="zh-CN"/>
        </w:rPr>
        <w:t xml:space="preserve">成品油零售经营资格申请表               </w:t>
      </w:r>
    </w:p>
    <w:p>
      <w:pPr>
        <w:pStyle w:val="3"/>
        <w:bidi w:val="0"/>
        <w:ind w:firstLine="3534" w:firstLineChars="800"/>
        <w:jc w:val="both"/>
        <w:rPr>
          <w:rFonts w:hint="default" w:ascii="宋体" w:hAnsi="宋体" w:cs="Times New Roman"/>
          <w:color w:val="auto"/>
          <w:highlight w:val="none"/>
          <w:lang w:val="en-US" w:eastAsia="zh-CN"/>
        </w:rPr>
      </w:pPr>
    </w:p>
    <w:p>
      <w:pPr>
        <w:pStyle w:val="3"/>
        <w:bidi w:val="0"/>
        <w:ind w:firstLine="3534" w:firstLineChars="800"/>
        <w:jc w:val="both"/>
        <w:rPr>
          <w:rFonts w:hint="default" w:ascii="宋体" w:hAnsi="宋体" w:cs="Times New Roman"/>
          <w:color w:val="auto"/>
          <w:highlight w:val="none"/>
          <w:lang w:val="en-US" w:eastAsia="zh-CN"/>
        </w:rPr>
      </w:pPr>
    </w:p>
    <w:p>
      <w:pPr>
        <w:pStyle w:val="3"/>
        <w:bidi w:val="0"/>
        <w:ind w:firstLine="3534" w:firstLineChars="800"/>
        <w:jc w:val="both"/>
        <w:rPr>
          <w:rFonts w:hint="default" w:ascii="宋体" w:hAnsi="宋体" w:cs="Times New Roman"/>
          <w:color w:val="auto"/>
          <w:highlight w:val="none"/>
          <w:lang w:val="en-US" w:eastAsia="zh-CN"/>
        </w:rPr>
      </w:pPr>
    </w:p>
    <w:p>
      <w:pPr>
        <w:pStyle w:val="3"/>
        <w:bidi w:val="0"/>
        <w:jc w:val="both"/>
        <w:rPr>
          <w:rFonts w:hint="default" w:ascii="宋体" w:hAnsi="宋体" w:cs="Times New Roman"/>
          <w:color w:val="auto"/>
          <w:highlight w:val="none"/>
          <w:lang w:val="en-US" w:eastAsia="zh-CN"/>
        </w:rPr>
      </w:pPr>
    </w:p>
    <w:p>
      <w:pPr>
        <w:rPr>
          <w:rFonts w:hint="default" w:ascii="宋体" w:hAnsi="宋体"/>
          <w:lang w:val="en-US" w:eastAsia="zh-CN"/>
        </w:rPr>
      </w:pPr>
    </w:p>
    <w:p>
      <w:pPr>
        <w:pStyle w:val="3"/>
        <w:pageBreakBefore w:val="0"/>
        <w:widowControl w:val="0"/>
        <w:kinsoku/>
        <w:wordWrap/>
        <w:overflowPunct/>
        <w:topLinePunct w:val="0"/>
        <w:autoSpaceDE/>
        <w:autoSpaceDN/>
        <w:bidi w:val="0"/>
        <w:adjustRightInd/>
        <w:snapToGrid/>
        <w:ind w:firstLine="3520" w:firstLineChars="800"/>
        <w:jc w:val="both"/>
        <w:textAlignment w:val="auto"/>
        <w:rPr>
          <w:rFonts w:hint="eastAsia" w:ascii="宋体" w:hAnsi="宋体" w:eastAsia="方正小标宋简体" w:cs="方正小标宋简体"/>
          <w:b w:val="0"/>
          <w:bCs/>
          <w:color w:val="auto"/>
          <w:highlight w:val="none"/>
          <w:lang w:val="en-US" w:eastAsia="zh-CN"/>
        </w:rPr>
        <w:sectPr>
          <w:headerReference r:id="rId4" w:type="default"/>
          <w:footerReference r:id="rId5" w:type="default"/>
          <w:pgSz w:w="11900" w:h="16830"/>
          <w:pgMar w:top="1430" w:right="1785" w:bottom="1320" w:left="1750" w:header="0" w:footer="0" w:gutter="0"/>
          <w:cols w:space="720" w:num="1"/>
        </w:sectPr>
      </w:pPr>
      <w:bookmarkStart w:id="0" w:name="_Toc32224"/>
    </w:p>
    <w:p>
      <w:pPr>
        <w:pStyle w:val="3"/>
        <w:pageBreakBefore w:val="0"/>
        <w:widowControl w:val="0"/>
        <w:kinsoku/>
        <w:wordWrap/>
        <w:overflowPunct/>
        <w:topLinePunct w:val="0"/>
        <w:autoSpaceDE/>
        <w:autoSpaceDN/>
        <w:bidi w:val="0"/>
        <w:adjustRightInd/>
        <w:snapToGrid/>
        <w:ind w:firstLine="3520" w:firstLineChars="800"/>
        <w:jc w:val="both"/>
        <w:textAlignment w:val="auto"/>
        <w:rPr>
          <w:rFonts w:hint="eastAsia" w:ascii="宋体" w:hAnsi="宋体" w:eastAsia="方正小标宋简体" w:cs="方正小标宋简体"/>
          <w:b w:val="0"/>
          <w:bCs/>
          <w:color w:val="auto"/>
          <w:highlight w:val="none"/>
          <w:lang w:val="en-US" w:eastAsia="zh-CN"/>
        </w:rPr>
      </w:pPr>
      <w:r>
        <w:rPr>
          <w:rFonts w:hint="eastAsia" w:ascii="宋体" w:hAnsi="宋体" w:eastAsia="方正小标宋简体" w:cs="方正小标宋简体"/>
          <w:b w:val="0"/>
          <w:bCs/>
          <w:color w:val="auto"/>
          <w:highlight w:val="none"/>
          <w:lang w:val="en-US" w:eastAsia="zh-CN"/>
        </w:rPr>
        <w:t>前  言</w:t>
      </w:r>
      <w:bookmarkEnd w:id="0"/>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十四五</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时期，是新疆生产建设兵团（以下简称</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兵团</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）深入贯彻落实第三次中央新疆工作座谈会精神特别是习近平总书记重要讲话精神，完整准确贯彻新时代党的治疆方略，聚焦兵团职责使命，推动新时代兵团事业大发展，更好发挥特殊作用的极其重要的五年</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是第二师铁门关市（以下简称师市）健全和转变</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政</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的职能后关键历史节点上的第一个五年，也是新时代全面建设社会主义现代化新师市的关键五年。成品油是关系国计民生的战略物资和特殊商品，做好成品油零售体系发展规划是完善网点布局、促进成品油市场平稳健康发展的重要手段，有助于</w:t>
      </w:r>
      <w:r>
        <w:rPr>
          <w:rFonts w:hint="eastAsia" w:ascii="宋体" w:hAnsi="宋体" w:eastAsia="方正仿宋简体" w:cs="方正仿宋简体"/>
          <w:color w:val="auto"/>
          <w:highlight w:val="none"/>
          <w:lang w:val="en-US" w:eastAsia="zh-CN"/>
        </w:rPr>
        <w:t>师市</w:t>
      </w:r>
      <w:r>
        <w:rPr>
          <w:rFonts w:hint="eastAsia" w:ascii="宋体" w:hAnsi="宋体" w:eastAsia="方正仿宋简体" w:cs="方正仿宋简体"/>
          <w:color w:val="auto"/>
          <w:highlight w:val="none"/>
        </w:rPr>
        <w:t>经济社会高质量发展，更好地满足人民群众日益增长的美好生活需要。</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随着师市城镇化进程加快，道路交通建设有序推进，机动车保有量和过境车辆持续增加，物流产业发展势头日趋向好，成品油零售行业迅速发展，成品油需求量持续攀升。</w:t>
      </w:r>
      <w:r>
        <w:rPr>
          <w:rFonts w:hint="eastAsia" w:ascii="宋体" w:hAnsi="宋体" w:eastAsia="方正仿宋简体" w:cs="方正仿宋简体"/>
          <w:color w:val="auto"/>
          <w:highlight w:val="none"/>
        </w:rPr>
        <w:t>充分考虑经济结构调整、替代能源发展和</w:t>
      </w:r>
      <w:r>
        <w:rPr>
          <w:rFonts w:hint="eastAsia" w:ascii="宋体" w:hAnsi="宋体" w:eastAsia="方正仿宋简体" w:cs="方正仿宋简体"/>
          <w:color w:val="auto"/>
          <w:highlight w:val="none"/>
          <w:lang w:val="en-US" w:eastAsia="zh-CN"/>
        </w:rPr>
        <w:t>师市</w:t>
      </w:r>
      <w:r>
        <w:rPr>
          <w:rFonts w:hint="eastAsia" w:ascii="宋体" w:hAnsi="宋体" w:eastAsia="方正仿宋简体" w:cs="方正仿宋简体"/>
          <w:color w:val="auto"/>
          <w:highlight w:val="none"/>
        </w:rPr>
        <w:t>经济发展水平、人口城镇化水平、车流量、道路规划建设等因素，对</w:t>
      </w:r>
      <w:r>
        <w:rPr>
          <w:rFonts w:hint="eastAsia" w:ascii="宋体" w:hAnsi="宋体" w:eastAsia="方正仿宋简体" w:cs="方正仿宋简体"/>
          <w:color w:val="auto"/>
          <w:highlight w:val="none"/>
          <w:lang w:val="en-US" w:eastAsia="zh-CN"/>
        </w:rPr>
        <w:t>师市</w:t>
      </w:r>
      <w:r>
        <w:rPr>
          <w:rFonts w:hint="eastAsia" w:ascii="宋体" w:hAnsi="宋体" w:eastAsia="方正仿宋简体" w:cs="方正仿宋简体"/>
          <w:color w:val="auto"/>
          <w:highlight w:val="none"/>
        </w:rPr>
        <w:t>成品油市场供求趋势进行科学前瞻和合理预测。</w:t>
      </w:r>
      <w:r>
        <w:rPr>
          <w:rFonts w:hint="eastAsia" w:ascii="宋体" w:hAnsi="宋体" w:eastAsia="方正仿宋简体" w:cs="方正仿宋简体"/>
          <w:color w:val="auto"/>
          <w:highlight w:val="none"/>
          <w:lang w:val="en-US" w:eastAsia="zh-CN"/>
        </w:rPr>
        <w:t>以适应师市</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十</w:t>
      </w:r>
      <w:r>
        <w:rPr>
          <w:rFonts w:hint="eastAsia" w:ascii="宋体" w:hAnsi="宋体" w:eastAsia="方正仿宋简体" w:cs="方正仿宋简体"/>
          <w:color w:val="auto"/>
          <w:highlight w:val="none"/>
          <w:lang w:eastAsia="zh-CN"/>
        </w:rPr>
        <w:t>四</w:t>
      </w:r>
      <w:r>
        <w:rPr>
          <w:rFonts w:hint="eastAsia" w:ascii="宋体" w:hAnsi="宋体" w:eastAsia="方正仿宋简体" w:cs="方正仿宋简体"/>
          <w:color w:val="auto"/>
          <w:highlight w:val="none"/>
        </w:rPr>
        <w:t>五</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时期国民经济、社会发展、交通运输、城镇化建设等需要，确保成品油零售市场健康有序发展</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按照兵团商务局《关于做好成品油零售体系</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十四五</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规划编制工作的通知》（兵商务字</w:t>
      </w:r>
      <w:r>
        <w:rPr>
          <w:rFonts w:hint="eastAsia" w:ascii="仿宋_GB2312" w:hAnsi="仿宋_GB2312" w:eastAsia="仿宋_GB2312" w:cs="仿宋_GB2312"/>
          <w:color w:val="auto"/>
          <w:highlight w:val="none"/>
        </w:rPr>
        <w:t>〔</w:t>
      </w:r>
      <w:r>
        <w:rPr>
          <w:rFonts w:hint="eastAsia" w:ascii="宋体" w:hAnsi="宋体" w:eastAsia="方正仿宋简体" w:cs="方正仿宋简体"/>
          <w:color w:val="auto"/>
          <w:highlight w:val="none"/>
        </w:rPr>
        <w:t>20</w:t>
      </w:r>
      <w:r>
        <w:rPr>
          <w:rFonts w:hint="eastAsia" w:ascii="宋体" w:hAnsi="宋体" w:eastAsia="方正仿宋简体" w:cs="方正仿宋简体"/>
          <w:color w:val="auto"/>
          <w:highlight w:val="none"/>
          <w:lang w:val="en-US" w:eastAsia="zh-CN"/>
        </w:rPr>
        <w:t>20</w:t>
      </w:r>
      <w:r>
        <w:rPr>
          <w:rFonts w:hint="eastAsia" w:ascii="仿宋_GB2312" w:hAnsi="仿宋_GB2312" w:eastAsia="仿宋_GB2312" w:cs="仿宋_GB2312"/>
          <w:color w:val="auto"/>
          <w:highlight w:val="none"/>
        </w:rPr>
        <w:t>〕</w:t>
      </w:r>
      <w:r>
        <w:rPr>
          <w:rFonts w:hint="eastAsia" w:ascii="宋体" w:hAnsi="宋体" w:eastAsia="方正仿宋简体" w:cs="方正仿宋简体"/>
          <w:color w:val="auto"/>
          <w:highlight w:val="none"/>
          <w:lang w:val="en-US" w:eastAsia="zh-CN"/>
        </w:rPr>
        <w:t>42</w:t>
      </w:r>
      <w:r>
        <w:rPr>
          <w:rFonts w:hint="eastAsia" w:ascii="宋体" w:hAnsi="宋体" w:eastAsia="方正仿宋简体" w:cs="方正仿宋简体"/>
          <w:color w:val="auto"/>
          <w:highlight w:val="none"/>
        </w:rPr>
        <w:t>号）文件要求</w:t>
      </w:r>
      <w:r>
        <w:rPr>
          <w:rFonts w:hint="eastAsia" w:ascii="宋体" w:hAnsi="宋体" w:eastAsia="方正仿宋简体" w:cs="方正仿宋简体"/>
          <w:color w:val="auto"/>
          <w:highlight w:val="none"/>
          <w:lang w:eastAsia="zh-CN"/>
        </w:rPr>
        <w:t>，严格按照</w:t>
      </w:r>
      <w:r>
        <w:rPr>
          <w:rFonts w:hint="eastAsia" w:ascii="宋体" w:hAnsi="宋体" w:eastAsia="方正仿宋简体" w:cs="方正仿宋简体"/>
          <w:color w:val="auto"/>
          <w:highlight w:val="none"/>
        </w:rPr>
        <w:t>可操作性、科学性和前瞻性</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lang w:val="en-US" w:eastAsia="zh-CN"/>
        </w:rPr>
        <w:t>编制《第二师铁门关市成品油零售体系“十四五”规划》（以下简称本规划）。</w:t>
      </w:r>
    </w:p>
    <w:p>
      <w:pPr>
        <w:pageBreakBefore w:val="0"/>
        <w:widowControl w:val="0"/>
        <w:kinsoku/>
        <w:wordWrap/>
        <w:overflowPunct/>
        <w:topLinePunct w:val="0"/>
        <w:autoSpaceDE/>
        <w:autoSpaceDN/>
        <w:bidi w:val="0"/>
        <w:adjustRightInd/>
        <w:snapToGrid/>
        <w:textAlignment w:val="auto"/>
        <w:rPr>
          <w:rFonts w:hint="default" w:ascii="宋体" w:hAnsi="宋体" w:cs="Times New Roman"/>
        </w:rPr>
      </w:pPr>
      <w:r>
        <w:rPr>
          <w:rFonts w:hint="eastAsia" w:ascii="宋体" w:hAnsi="宋体" w:eastAsia="方正仿宋简体" w:cs="方正仿宋简体"/>
        </w:rPr>
        <w:t>本规划中除已定性为保留现状加油站和部分已在</w:t>
      </w:r>
      <w:r>
        <w:rPr>
          <w:rFonts w:hint="eastAsia" w:ascii="宋体" w:hAnsi="宋体" w:eastAsia="方正仿宋简体" w:cs="方正仿宋简体"/>
          <w:lang w:eastAsia="zh-CN"/>
        </w:rPr>
        <w:t>“</w:t>
      </w:r>
      <w:r>
        <w:rPr>
          <w:rFonts w:hint="eastAsia" w:ascii="宋体" w:hAnsi="宋体" w:eastAsia="方正仿宋简体" w:cs="方正仿宋简体"/>
        </w:rPr>
        <w:t>十二五</w:t>
      </w:r>
      <w:r>
        <w:rPr>
          <w:rFonts w:hint="eastAsia" w:ascii="宋体" w:hAnsi="宋体" w:eastAsia="方正仿宋简体" w:cs="方正仿宋简体"/>
          <w:lang w:eastAsia="zh-CN"/>
        </w:rPr>
        <w:t>”</w:t>
      </w:r>
      <w:r>
        <w:rPr>
          <w:rFonts w:hint="eastAsia" w:ascii="宋体" w:hAnsi="宋体" w:eastAsia="方正仿宋简体" w:cs="方正仿宋简体"/>
        </w:rPr>
        <w:t>、</w:t>
      </w:r>
      <w:r>
        <w:rPr>
          <w:rFonts w:hint="eastAsia" w:ascii="宋体" w:hAnsi="宋体" w:eastAsia="方正仿宋简体" w:cs="方正仿宋简体"/>
          <w:lang w:eastAsia="zh-CN"/>
        </w:rPr>
        <w:t>“</w:t>
      </w:r>
      <w:r>
        <w:rPr>
          <w:rFonts w:hint="eastAsia" w:ascii="宋体" w:hAnsi="宋体" w:eastAsia="方正仿宋简体" w:cs="方正仿宋简体"/>
        </w:rPr>
        <w:t>十三五</w:t>
      </w:r>
      <w:r>
        <w:rPr>
          <w:rFonts w:hint="eastAsia" w:ascii="宋体" w:hAnsi="宋体" w:eastAsia="方正仿宋简体" w:cs="方正仿宋简体"/>
          <w:lang w:eastAsia="zh-CN"/>
        </w:rPr>
        <w:t>”</w:t>
      </w:r>
      <w:r>
        <w:rPr>
          <w:rFonts w:hint="eastAsia" w:ascii="宋体" w:hAnsi="宋体" w:eastAsia="方正仿宋简体" w:cs="方正仿宋简体"/>
        </w:rPr>
        <w:t>规划中经专项研究确定或已经自然资源和规划部门出让的加油站用地点位外，其余点位均为示意性布点，其站名、地址、权属不作为具体定位，具体规划坐标以自然资源和规划部门出具的建设用地规划许可证为准。在实施过程中，应加强与国土空间规划和</w:t>
      </w:r>
      <w:r>
        <w:rPr>
          <w:rFonts w:hint="eastAsia" w:ascii="宋体" w:hAnsi="宋体" w:eastAsia="方正仿宋简体" w:cs="方正仿宋简体"/>
          <w:lang w:eastAsia="zh-CN"/>
        </w:rPr>
        <w:t>“</w:t>
      </w:r>
      <w:r>
        <w:rPr>
          <w:rFonts w:hint="eastAsia" w:ascii="宋体" w:hAnsi="宋体" w:eastAsia="方正仿宋简体" w:cs="方正仿宋简体"/>
        </w:rPr>
        <w:t>一张图</w:t>
      </w:r>
      <w:r>
        <w:rPr>
          <w:rFonts w:hint="eastAsia" w:ascii="宋体" w:hAnsi="宋体" w:eastAsia="方正仿宋简体" w:cs="方正仿宋简体"/>
          <w:lang w:eastAsia="zh-CN"/>
        </w:rPr>
        <w:t>”</w:t>
      </w:r>
      <w:r>
        <w:rPr>
          <w:rFonts w:hint="eastAsia" w:ascii="宋体" w:hAnsi="宋体" w:eastAsia="方正仿宋简体" w:cs="方正仿宋简体"/>
        </w:rPr>
        <w:t>的衔接。</w:t>
      </w:r>
    </w:p>
    <w:p>
      <w:pPr>
        <w:rPr>
          <w:rFonts w:hint="default" w:ascii="宋体" w:hAnsi="宋体" w:cs="Times New Roman"/>
          <w:color w:val="auto"/>
          <w:highlight w:val="none"/>
          <w:lang w:val="en-US" w:eastAsia="zh-CN"/>
        </w:rPr>
      </w:pPr>
      <w:r>
        <w:rPr>
          <w:rFonts w:hint="default" w:ascii="宋体" w:hAnsi="宋体" w:cs="Times New Roman"/>
          <w:color w:val="auto"/>
          <w:highlight w:val="none"/>
          <w:lang w:val="en-US" w:eastAsia="zh-CN"/>
        </w:rPr>
        <w:br w:type="page"/>
      </w:r>
    </w:p>
    <w:p>
      <w:pPr>
        <w:pStyle w:val="3"/>
        <w:numPr>
          <w:ilvl w:val="0"/>
          <w:numId w:val="0"/>
        </w:numPr>
        <w:bidi w:val="0"/>
        <w:jc w:val="center"/>
        <w:rPr>
          <w:rFonts w:hint="eastAsia" w:ascii="宋体" w:hAnsi="宋体" w:eastAsia="方正小标宋简体" w:cs="方正小标宋简体"/>
          <w:b w:val="0"/>
          <w:bCs/>
          <w:color w:val="auto"/>
          <w:sz w:val="44"/>
          <w:szCs w:val="44"/>
          <w:highlight w:val="none"/>
          <w:lang w:val="en-US" w:eastAsia="zh-CN"/>
        </w:rPr>
      </w:pPr>
      <w:bookmarkStart w:id="1" w:name="_Toc22051"/>
      <w:r>
        <w:rPr>
          <w:rFonts w:hint="eastAsia" w:ascii="宋体" w:hAnsi="宋体" w:eastAsia="方正小标宋简体" w:cs="方正小标宋简体"/>
          <w:b w:val="0"/>
          <w:bCs/>
          <w:color w:val="auto"/>
          <w:sz w:val="44"/>
          <w:szCs w:val="44"/>
          <w:highlight w:val="none"/>
          <w:lang w:val="en-US" w:eastAsia="zh-CN"/>
        </w:rPr>
        <w:t>第一章 发展形势</w:t>
      </w:r>
      <w:bookmarkEnd w:id="1"/>
    </w:p>
    <w:p>
      <w:pPr>
        <w:pStyle w:val="4"/>
        <w:numPr>
          <w:ilvl w:val="1"/>
          <w:numId w:val="0"/>
        </w:numPr>
        <w:bidi w:val="0"/>
        <w:ind w:leftChars="0"/>
        <w:jc w:val="center"/>
        <w:rPr>
          <w:rFonts w:hint="default" w:ascii="宋体" w:hAnsi="宋体" w:cs="Times New Roman"/>
          <w:b w:val="0"/>
          <w:bCs w:val="0"/>
          <w:color w:val="auto"/>
          <w:highlight w:val="none"/>
          <w:lang w:val="en-US" w:eastAsia="zh-CN"/>
        </w:rPr>
      </w:pPr>
      <w:bookmarkStart w:id="2" w:name="_Toc13601"/>
      <w:r>
        <w:rPr>
          <w:rFonts w:hint="eastAsia" w:ascii="宋体" w:hAnsi="宋体" w:cs="Times New Roman"/>
          <w:b w:val="0"/>
          <w:bCs w:val="0"/>
          <w:color w:val="auto"/>
          <w:highlight w:val="none"/>
          <w:lang w:val="en-US" w:eastAsia="zh-CN"/>
        </w:rPr>
        <w:t>第一节 “</w:t>
      </w:r>
      <w:r>
        <w:rPr>
          <w:rFonts w:hint="default" w:ascii="宋体" w:hAnsi="宋体" w:cs="Times New Roman"/>
          <w:b w:val="0"/>
          <w:bCs w:val="0"/>
          <w:color w:val="auto"/>
          <w:highlight w:val="none"/>
          <w:lang w:val="en-US" w:eastAsia="zh-CN"/>
        </w:rPr>
        <w:t>十三五</w:t>
      </w:r>
      <w:r>
        <w:rPr>
          <w:rFonts w:hint="eastAsia" w:ascii="宋体" w:hAnsi="宋体" w:cs="Times New Roman"/>
          <w:b w:val="0"/>
          <w:bCs w:val="0"/>
          <w:color w:val="auto"/>
          <w:highlight w:val="none"/>
          <w:lang w:val="en-US" w:eastAsia="zh-CN"/>
        </w:rPr>
        <w:t>”</w:t>
      </w:r>
      <w:r>
        <w:rPr>
          <w:rFonts w:hint="default" w:ascii="宋体" w:hAnsi="宋体" w:cs="Times New Roman"/>
          <w:b w:val="0"/>
          <w:bCs w:val="0"/>
          <w:color w:val="auto"/>
          <w:highlight w:val="none"/>
          <w:lang w:val="en-US" w:eastAsia="zh-CN"/>
        </w:rPr>
        <w:t>期间发展概况</w:t>
      </w:r>
      <w:bookmarkEnd w:id="2"/>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2015年，师市制定了《第二师成品油零售体系“十三五”规划（2016年—2020年）》，通过五年规划的实施，到2020年，师市共有加油站29座，其中在建3座、歇业1座，逐步建立起与师市国民经济发展相适应，满足广大消费者需要、竞争有序、功能完善的成品油零售服务网络体系，较好地维护了成品油市场秩序，促进师市加油站的健康有序发展，为师市“十四五”时期进一步完善成品油零售体系奠定坚实的基础。</w:t>
      </w:r>
    </w:p>
    <w:p>
      <w:pPr>
        <w:bidi w:val="0"/>
        <w:rPr>
          <w:rFonts w:hint="eastAsia" w:ascii="宋体" w:hAnsi="宋体" w:eastAsia="楷体_GB2312" w:cs="楷体_GB2312"/>
          <w:b w:val="0"/>
          <w:bCs/>
          <w:color w:val="auto"/>
          <w:highlight w:val="none"/>
          <w:lang w:val="en-US" w:eastAsia="zh-CN"/>
        </w:rPr>
      </w:pPr>
      <w:r>
        <w:rPr>
          <w:rFonts w:hint="eastAsia" w:ascii="宋体" w:hAnsi="宋体" w:eastAsia="楷体_GB2312" w:cs="楷体_GB2312"/>
          <w:b w:val="0"/>
          <w:bCs/>
          <w:color w:val="auto"/>
          <w:highlight w:val="none"/>
          <w:lang w:val="en-US" w:eastAsia="zh-CN"/>
        </w:rPr>
        <w:t>一、经济社会发展情况</w:t>
      </w:r>
    </w:p>
    <w:p>
      <w:pPr>
        <w:numPr>
          <w:ilvl w:val="0"/>
          <w:numId w:val="0"/>
        </w:numPr>
        <w:ind w:firstLine="643" w:firstLineChars="200"/>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1.人口发展概况</w:t>
      </w:r>
    </w:p>
    <w:p>
      <w:pPr>
        <w:bidi w:val="0"/>
        <w:rPr>
          <w:rFonts w:hint="eastAsia" w:ascii="宋体" w:hAnsi="宋体" w:eastAsia="方正仿宋简体" w:cs="方正仿宋简体"/>
          <w:b w:val="0"/>
          <w:bCs w:val="0"/>
          <w:color w:val="auto"/>
          <w:highlight w:val="none"/>
          <w:lang w:val="en-US" w:eastAsia="zh-CN"/>
        </w:rPr>
      </w:pPr>
      <w:r>
        <w:rPr>
          <w:rFonts w:hint="eastAsia" w:ascii="宋体" w:hAnsi="宋体" w:eastAsia="方正仿宋简体" w:cs="方正仿宋简体"/>
          <w:b w:val="0"/>
          <w:bCs w:val="0"/>
          <w:color w:val="auto"/>
          <w:highlight w:val="none"/>
          <w:lang w:val="en-US" w:eastAsia="zh-CN"/>
        </w:rPr>
        <w:t>2020年师市全年出生人口1245人，出生率为5.38‰，死亡人口1156人，死亡率为4.99‰，全年净增人口89人，人口自然增长率为0.39‰。计划生育率100%。</w:t>
      </w:r>
    </w:p>
    <w:p>
      <w:pPr>
        <w:bidi w:val="0"/>
        <w:rPr>
          <w:rFonts w:hint="eastAsia" w:ascii="宋体" w:hAnsi="宋体" w:eastAsia="方正仿宋简体" w:cs="方正仿宋简体"/>
          <w:b w:val="0"/>
          <w:bCs w:val="0"/>
          <w:color w:val="auto"/>
          <w:highlight w:val="none"/>
          <w:lang w:val="en-US" w:eastAsia="zh-CN"/>
        </w:rPr>
      </w:pPr>
      <w:r>
        <w:rPr>
          <w:rFonts w:hint="eastAsia" w:ascii="宋体" w:hAnsi="宋体" w:eastAsia="方正仿宋简体" w:cs="方正仿宋简体"/>
          <w:b w:val="0"/>
          <w:bCs w:val="0"/>
          <w:color w:val="auto"/>
          <w:highlight w:val="none"/>
          <w:lang w:val="en-US" w:eastAsia="zh-CN"/>
        </w:rPr>
        <w:t>截止2020年末，全师总人口为23.16万人，比上年末增长4.38%。年末全师家庭总户数92239户，平均每户家庭人口为2.5人。</w:t>
      </w:r>
    </w:p>
    <w:p>
      <w:pPr>
        <w:numPr>
          <w:ilvl w:val="0"/>
          <w:numId w:val="0"/>
        </w:numPr>
        <w:ind w:firstLine="643" w:firstLineChars="200"/>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2.经济发展概况</w:t>
      </w:r>
    </w:p>
    <w:p>
      <w:pPr>
        <w:bidi w:val="0"/>
        <w:rPr>
          <w:rFonts w:hint="eastAsia" w:ascii="宋体" w:hAnsi="宋体" w:eastAsia="方正仿宋简体" w:cs="方正仿宋简体"/>
          <w:b w:val="0"/>
          <w:bCs w:val="0"/>
          <w:lang w:val="en-US" w:eastAsia="zh-CN"/>
        </w:rPr>
      </w:pPr>
      <w:r>
        <w:rPr>
          <w:rFonts w:hint="eastAsia" w:ascii="宋体" w:hAnsi="宋体" w:eastAsia="方正仿宋简体" w:cs="方正仿宋简体"/>
          <w:b w:val="0"/>
          <w:bCs w:val="0"/>
          <w:color w:val="auto"/>
          <w:highlight w:val="none"/>
          <w:lang w:val="en-US" w:eastAsia="zh-CN"/>
        </w:rPr>
        <w:t>近年来师市社会经济增长迅速，坚持创新驱动战略，壮大产业发展基础，实现生产总值稳步增长，三次产业结构更加优化。2020年全年实现生产总值（GDP）185.37亿元，比上年增长0.9%。其中，第一产业增加值58.06亿元，增长5.7%；第二产业增加值61.39亿元，增长0.2%；工业增加值41.38亿元，增长3.4%；第三产业增加值65.92亿元，增长2%。产业结构比例由2015年的30:44:26调整为31:33:36；旅游业爆发式增长，商贸物流、电子商务、金融服务等现代服务业蓬勃发展，第三产业比重较2015年提高10个百分点。</w:t>
      </w:r>
      <w:r>
        <w:rPr>
          <w:rFonts w:hint="eastAsia" w:ascii="宋体" w:hAnsi="宋体" w:eastAsia="方正仿宋简体" w:cs="方正仿宋简体"/>
          <w:b w:val="0"/>
          <w:bCs w:val="0"/>
          <w:lang w:val="en-US" w:eastAsia="zh-CN"/>
        </w:rPr>
        <w:t>“十三五”期间师市发展动力厚积薄发，产业结构逐步优化，综合实力显著提升。</w:t>
      </w:r>
    </w:p>
    <w:p>
      <w:pPr>
        <w:bidi w:val="0"/>
        <w:rPr>
          <w:rFonts w:hint="eastAsia" w:ascii="宋体" w:hAnsi="宋体" w:eastAsia="楷体_GB2312" w:cs="楷体_GB2312"/>
          <w:b w:val="0"/>
          <w:bCs/>
          <w:color w:val="auto"/>
          <w:highlight w:val="none"/>
          <w:lang w:val="en-US" w:eastAsia="zh-CN"/>
        </w:rPr>
      </w:pPr>
      <w:r>
        <w:rPr>
          <w:rFonts w:hint="eastAsia" w:ascii="宋体" w:hAnsi="宋体" w:eastAsia="楷体_GB2312" w:cs="楷体_GB2312"/>
          <w:b w:val="0"/>
          <w:bCs/>
          <w:color w:val="auto"/>
          <w:highlight w:val="none"/>
          <w:lang w:val="en-US" w:eastAsia="zh-CN"/>
        </w:rPr>
        <w:t>二、交通发展情况</w:t>
      </w:r>
    </w:p>
    <w:p>
      <w:pPr>
        <w:numPr>
          <w:ilvl w:val="0"/>
          <w:numId w:val="0"/>
        </w:numPr>
        <w:bidi w:val="0"/>
        <w:ind w:firstLine="643" w:firstLineChars="200"/>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1.交通运输发展概况</w:t>
      </w:r>
    </w:p>
    <w:p>
      <w:pPr>
        <w:bidi w:val="0"/>
        <w:jc w:val="both"/>
        <w:rPr>
          <w:rFonts w:hint="eastAsia" w:ascii="宋体" w:hAnsi="宋体" w:eastAsia="方正仿宋简体" w:cs="方正仿宋简体"/>
          <w:b w:val="0"/>
          <w:bCs w:val="0"/>
          <w:color w:val="auto"/>
          <w:highlight w:val="none"/>
          <w:lang w:val="en-US" w:eastAsia="zh-CN"/>
        </w:rPr>
      </w:pPr>
      <w:r>
        <w:rPr>
          <w:rFonts w:hint="eastAsia" w:ascii="宋体" w:hAnsi="宋体" w:eastAsia="方正仿宋简体" w:cs="方正仿宋简体"/>
          <w:b w:val="0"/>
          <w:bCs w:val="0"/>
          <w:color w:val="auto"/>
          <w:highlight w:val="none"/>
          <w:lang w:val="en-US" w:eastAsia="zh-CN"/>
        </w:rPr>
        <w:drawing>
          <wp:anchor distT="0" distB="0" distL="114300" distR="114300" simplePos="0" relativeHeight="251660288" behindDoc="0" locked="0" layoutInCell="1" allowOverlap="1">
            <wp:simplePos x="0" y="0"/>
            <wp:positionH relativeFrom="column">
              <wp:posOffset>51435</wp:posOffset>
            </wp:positionH>
            <wp:positionV relativeFrom="paragraph">
              <wp:posOffset>3249295</wp:posOffset>
            </wp:positionV>
            <wp:extent cx="5251450" cy="2239645"/>
            <wp:effectExtent l="4445" t="4445" r="17145" b="11430"/>
            <wp:wrapTopAndBottom/>
            <wp:docPr id="3" name="图表 3" descr="7b0a202020202263686172745265734964223a202231373432343030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宋体" w:hAnsi="宋体" w:eastAsia="方正仿宋简体" w:cs="方正仿宋简体"/>
          <w:b w:val="0"/>
          <w:bCs w:val="0"/>
          <w:color w:val="auto"/>
          <w:highlight w:val="none"/>
          <w:lang w:val="en-US" w:eastAsia="zh-CN"/>
        </w:rPr>
        <w:t>汽车保有量增长迅速，“十三五”时期年增长率为11.09%，截止2020年末，民用汽车保有量16203辆，比上年增长6.3%，其中载客汽车保有量12992辆，比上年增长8.6%，载货汽车保有量2521辆，比上年下降1.9%，其他汽车保有量690辆，比上年下降2.8%。2020年完成客运量746.55万人，同比下降55.7%。旅客周转量5.13亿人公里，同比下降42.9%，2020年完成货运量4798.13万吨，同比下降2.8%，完成货物周转量28.81亿吨公里，同比下降5.5%，综合周转量29.32亿吨公里，同比下降6.6%。</w:t>
      </w:r>
    </w:p>
    <w:p>
      <w:pPr>
        <w:rPr>
          <w:rFonts w:hint="default" w:ascii="宋体" w:hAnsi="宋体" w:cs="Times New Roman"/>
          <w:b/>
          <w:bCs/>
          <w:color w:val="auto"/>
          <w:highlight w:val="none"/>
          <w:lang w:val="en-US" w:eastAsia="zh-CN"/>
        </w:rPr>
      </w:pPr>
      <w:r>
        <w:rPr>
          <w:rFonts w:hint="default" w:ascii="宋体" w:hAnsi="宋体" w:cs="Times New Roman"/>
          <w:b/>
          <w:bCs/>
          <w:color w:val="auto"/>
          <w:highlight w:val="none"/>
          <w:lang w:val="en-US" w:eastAsia="zh-CN"/>
        </w:rPr>
        <w:br w:type="page"/>
      </w:r>
    </w:p>
    <w:p>
      <w:pPr>
        <w:numPr>
          <w:ilvl w:val="0"/>
          <w:numId w:val="0"/>
        </w:numPr>
        <w:ind w:firstLine="643" w:firstLineChars="200"/>
        <w:rPr>
          <w:rFonts w:hint="eastAsia" w:ascii="宋体" w:hAnsi="宋体" w:eastAsia="方正仿宋简体" w:cs="方正仿宋简体"/>
          <w:b/>
          <w:bCs/>
          <w:color w:val="auto"/>
          <w:sz w:val="32"/>
          <w:szCs w:val="32"/>
          <w:highlight w:val="none"/>
          <w:lang w:val="en-US" w:eastAsia="zh-CN"/>
        </w:rPr>
      </w:pPr>
      <w:r>
        <w:rPr>
          <w:rFonts w:hint="eastAsia" w:ascii="宋体" w:hAnsi="宋体" w:eastAsia="方正仿宋简体" w:cs="方正仿宋简体"/>
          <w:b/>
          <w:bCs/>
          <w:color w:val="auto"/>
          <w:sz w:val="32"/>
          <w:szCs w:val="32"/>
          <w:highlight w:val="none"/>
          <w:lang w:val="en-US" w:eastAsia="zh-CN"/>
        </w:rPr>
        <w:t>2.综合交通体系建设</w:t>
      </w:r>
    </w:p>
    <w:p>
      <w:pPr>
        <w:bidi w:val="0"/>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“十三五”期间，第二师公路建设步伐不断加快，师市内部路网结构进一步优化，公路等级、密度和通畅率不断提高，加强与库尔勒地区公路网的无缝对接。</w:t>
      </w:r>
    </w:p>
    <w:p>
      <w:pPr>
        <w:bidi w:val="0"/>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十三五”期间，师市建成重点公路123公里、团连公路274公里，大力推进铁门关市—双丰镇等一批公路建设；库铁大道、孔雀西路、中央大街等建成通车；有序布局314、315国道两线综合物流中心、高速公路、支线机场项目，立体交通网络加快形成。</w:t>
      </w:r>
    </w:p>
    <w:p>
      <w:pPr>
        <w:bidi w:val="0"/>
        <w:rPr>
          <w:rFonts w:hint="eastAsia" w:ascii="宋体" w:hAnsi="宋体" w:eastAsia="楷体_GB2312" w:cs="楷体_GB2312"/>
          <w:b w:val="0"/>
          <w:bCs/>
          <w:color w:val="auto"/>
          <w:highlight w:val="none"/>
          <w:lang w:val="en-US" w:eastAsia="zh-CN"/>
        </w:rPr>
      </w:pPr>
      <w:r>
        <w:rPr>
          <w:rFonts w:hint="eastAsia" w:ascii="宋体" w:hAnsi="宋体" w:eastAsia="楷体_GB2312" w:cs="楷体_GB2312"/>
          <w:b w:val="0"/>
          <w:bCs/>
          <w:color w:val="auto"/>
          <w:highlight w:val="none"/>
          <w:lang w:val="en-US" w:eastAsia="zh-CN"/>
        </w:rPr>
        <w:t>三、成品油销售情况</w:t>
      </w:r>
    </w:p>
    <w:p>
      <w:pPr>
        <w:bidi w:val="0"/>
        <w:rPr>
          <w:rFonts w:hint="eastAsia" w:ascii="宋体" w:hAnsi="宋体" w:eastAsia="方正仿宋简体" w:cs="方正仿宋简体"/>
          <w:lang w:val="en-US" w:eastAsia="zh-CN"/>
        </w:rPr>
      </w:pPr>
      <w:r>
        <w:rPr>
          <w:rFonts w:hint="eastAsia" w:ascii="宋体" w:hAnsi="宋体" w:eastAsia="方正仿宋简体" w:cs="方正仿宋简体"/>
          <w:lang w:val="en-US" w:eastAsia="zh-CN"/>
        </w:rPr>
        <w:t>“十三五”期间，师市成品油消费量呈快速增长的态势，师市成品油消费总量共计12万吨，年均增长5%，其中汽油消费量为4万吨，柴油消费量为8万吨。</w:t>
      </w:r>
    </w:p>
    <w:p>
      <w:pPr>
        <w:bidi w:val="0"/>
        <w:rPr>
          <w:rFonts w:hint="eastAsia" w:ascii="宋体" w:hAnsi="宋体" w:eastAsia="楷体_GB2312" w:cs="楷体_GB2312"/>
          <w:b w:val="0"/>
          <w:bCs/>
          <w:lang w:val="en-US" w:eastAsia="zh-CN"/>
        </w:rPr>
      </w:pPr>
      <w:r>
        <w:rPr>
          <w:rFonts w:hint="eastAsia" w:ascii="宋体" w:hAnsi="宋体" w:eastAsia="楷体_GB2312" w:cs="楷体_GB2312"/>
          <w:b w:val="0"/>
          <w:bCs/>
          <w:lang w:val="en-US" w:eastAsia="zh-CN"/>
        </w:rPr>
        <w:t>四、加油站网点分布情况</w:t>
      </w:r>
    </w:p>
    <w:p>
      <w:pPr>
        <w:rPr>
          <w:rFonts w:hint="eastAsia" w:ascii="宋体" w:hAnsi="宋体" w:eastAsia="方正仿宋简体" w:cs="方正仿宋简体"/>
          <w:lang w:val="en-US" w:eastAsia="zh-CN"/>
        </w:rPr>
      </w:pPr>
      <w:r>
        <w:rPr>
          <w:rFonts w:hint="eastAsia" w:ascii="宋体" w:hAnsi="宋体" w:eastAsia="方正仿宋简体" w:cs="方正仿宋简体"/>
          <w:lang w:val="en-US" w:eastAsia="zh-CN"/>
        </w:rPr>
        <w:t>“十三五”期间，师市辖区共有已建成并运营加油站25座、在建加油站3座、歇业1座，共29座。组成情况为：兵团石油加油站15座、在建加油站2座、歇业1座。中国石化加油站4座。中国石油加油站3座、在建加油站1座。民营加油站3座。</w:t>
      </w:r>
    </w:p>
    <w:p>
      <w:pPr>
        <w:rPr>
          <w:rFonts w:hint="eastAsia" w:ascii="宋体" w:hAnsi="宋体" w:eastAsia="方正仿宋简体" w:cs="方正仿宋简体"/>
          <w:highlight w:val="none"/>
          <w:lang w:val="en-US" w:eastAsia="zh-CN"/>
        </w:rPr>
      </w:pPr>
      <w:r>
        <w:rPr>
          <w:rFonts w:hint="eastAsia" w:ascii="宋体" w:hAnsi="宋体" w:eastAsia="方正仿宋简体" w:cs="方正仿宋简体"/>
          <w:highlight w:val="none"/>
          <w:lang w:val="en-US" w:eastAsia="zh-CN"/>
        </w:rPr>
        <w:t>从成品油零售企业性质来看，国有加油站数量26座、占比89%；民营加油站数量3座，占比11%。</w:t>
      </w:r>
    </w:p>
    <w:p>
      <w:pPr>
        <w:pStyle w:val="2"/>
        <w:numPr>
          <w:ilvl w:val="0"/>
          <w:numId w:val="0"/>
        </w:numPr>
        <w:jc w:val="center"/>
        <w:rPr>
          <w:rFonts w:hint="default" w:ascii="宋体" w:hAnsi="宋体" w:cs="Times New Roman"/>
          <w:b/>
          <w:bCs/>
          <w:sz w:val="36"/>
          <w:szCs w:val="36"/>
          <w:lang w:val="en-US" w:eastAsia="zh-CN"/>
        </w:rPr>
      </w:pPr>
    </w:p>
    <w:p>
      <w:pPr>
        <w:pStyle w:val="2"/>
        <w:numPr>
          <w:ilvl w:val="0"/>
          <w:numId w:val="0"/>
        </w:numPr>
        <w:jc w:val="center"/>
        <w:rPr>
          <w:rFonts w:hint="default" w:ascii="宋体" w:hAnsi="宋体" w:cs="Times New Roman"/>
          <w:b/>
          <w:bCs/>
          <w:sz w:val="36"/>
          <w:szCs w:val="36"/>
          <w:lang w:val="en-US" w:eastAsia="zh-CN"/>
        </w:rPr>
      </w:pPr>
    </w:p>
    <w:p>
      <w:pPr>
        <w:pStyle w:val="2"/>
        <w:numPr>
          <w:ilvl w:val="0"/>
          <w:numId w:val="0"/>
        </w:numPr>
        <w:jc w:val="center"/>
        <w:rPr>
          <w:rFonts w:hint="default" w:ascii="宋体" w:hAnsi="宋体" w:cs="Times New Roman"/>
          <w:b/>
          <w:bCs/>
          <w:sz w:val="36"/>
          <w:szCs w:val="36"/>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320" w:firstLineChars="100"/>
        <w:jc w:val="both"/>
        <w:textAlignment w:val="auto"/>
        <w:rPr>
          <w:rFonts w:hint="eastAsia" w:ascii="宋体" w:hAnsi="宋体" w:eastAsia="方正小标宋简体" w:cs="方正小标宋简体"/>
          <w:b w:val="0"/>
          <w:bCs w:val="0"/>
          <w:sz w:val="32"/>
          <w:szCs w:val="32"/>
          <w:lang w:val="en-US" w:eastAsia="zh-CN"/>
        </w:rPr>
      </w:pPr>
      <w:r>
        <w:rPr>
          <w:rFonts w:hint="eastAsia" w:ascii="宋体" w:hAnsi="宋体" w:eastAsia="方正小标宋简体" w:cs="方正小标宋简体"/>
          <w:b w:val="0"/>
          <w:bCs w:val="0"/>
          <w:sz w:val="32"/>
          <w:szCs w:val="32"/>
          <w:lang w:val="en-US" w:eastAsia="zh-CN"/>
        </w:rPr>
        <w:t>第二师铁门关市“十三五”期间至2020年加油站明细表</w:t>
      </w:r>
    </w:p>
    <w:p>
      <w:pPr>
        <w:pStyle w:val="2"/>
        <w:ind w:left="0" w:leftChars="0" w:firstLine="0" w:firstLineChars="0"/>
      </w:pPr>
      <w:r>
        <w:drawing>
          <wp:inline distT="0" distB="0" distL="114300" distR="114300">
            <wp:extent cx="5307330" cy="6606540"/>
            <wp:effectExtent l="0" t="0" r="11430" b="762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tretch>
                      <a:fillRect/>
                    </a:stretch>
                  </pic:blipFill>
                  <pic:spPr>
                    <a:xfrm>
                      <a:off x="0" y="0"/>
                      <a:ext cx="5307330" cy="6606540"/>
                    </a:xfrm>
                    <a:prstGeom prst="rect">
                      <a:avLst/>
                    </a:prstGeom>
                    <a:noFill/>
                    <a:ln>
                      <a:noFill/>
                    </a:ln>
                  </pic:spPr>
                </pic:pic>
              </a:graphicData>
            </a:graphic>
          </wp:inline>
        </w:drawing>
      </w:r>
    </w:p>
    <w:p>
      <w:pPr>
        <w:pStyle w:val="2"/>
        <w:ind w:left="0" w:leftChars="0" w:firstLine="0" w:firstLineChars="0"/>
        <w:rPr>
          <w:rFonts w:hint="default"/>
          <w:lang w:val="en-US" w:eastAsia="zh-CN"/>
        </w:rPr>
      </w:pPr>
    </w:p>
    <w:p>
      <w:pPr>
        <w:pStyle w:val="2"/>
        <w:ind w:left="0" w:leftChars="0" w:firstLine="0" w:firstLineChars="0"/>
        <w:rPr>
          <w:rFonts w:hint="default" w:ascii="宋体" w:hAnsi="宋体" w:cs="Times New Roman"/>
          <w:highlight w:val="none"/>
          <w:lang w:val="en-US" w:eastAsia="zh-CN"/>
        </w:rPr>
      </w:pPr>
    </w:p>
    <w:p>
      <w:pPr>
        <w:pStyle w:val="4"/>
        <w:numPr>
          <w:ilvl w:val="1"/>
          <w:numId w:val="0"/>
        </w:numPr>
        <w:bidi w:val="0"/>
        <w:ind w:leftChars="0"/>
        <w:jc w:val="center"/>
        <w:rPr>
          <w:rFonts w:hint="default" w:ascii="宋体" w:hAnsi="宋体" w:cs="Times New Roman"/>
          <w:b w:val="0"/>
          <w:bCs w:val="0"/>
          <w:color w:val="auto"/>
          <w:highlight w:val="none"/>
          <w:lang w:val="en-US" w:eastAsia="zh-CN"/>
        </w:rPr>
      </w:pPr>
      <w:bookmarkStart w:id="3" w:name="_Toc27591"/>
      <w:r>
        <w:rPr>
          <w:rFonts w:hint="eastAsia" w:ascii="宋体" w:hAnsi="宋体" w:cs="Times New Roman"/>
          <w:b w:val="0"/>
          <w:bCs w:val="0"/>
          <w:color w:val="auto"/>
          <w:highlight w:val="none"/>
          <w:lang w:val="en-US" w:eastAsia="zh-CN"/>
        </w:rPr>
        <w:t xml:space="preserve">第二节 </w:t>
      </w:r>
      <w:r>
        <w:rPr>
          <w:rFonts w:hint="default" w:ascii="宋体" w:hAnsi="宋体" w:cs="Times New Roman"/>
          <w:b w:val="0"/>
          <w:bCs w:val="0"/>
          <w:color w:val="auto"/>
          <w:highlight w:val="none"/>
          <w:lang w:val="en-US" w:eastAsia="zh-CN"/>
        </w:rPr>
        <w:t>存在的主要问题</w:t>
      </w:r>
      <w:bookmarkEnd w:id="3"/>
    </w:p>
    <w:p>
      <w:pPr>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“十三五”期间</w:t>
      </w:r>
      <w:r>
        <w:rPr>
          <w:rFonts w:hint="eastAsia" w:ascii="宋体" w:hAnsi="宋体" w:eastAsia="方正仿宋简体" w:cs="方正仿宋简体"/>
          <w:b w:val="0"/>
          <w:bCs w:val="0"/>
          <w:color w:val="000000"/>
          <w:sz w:val="32"/>
          <w:szCs w:val="32"/>
          <w:lang w:val="en-US" w:eastAsia="zh-CN"/>
        </w:rPr>
        <w:t>师市</w:t>
      </w:r>
      <w:r>
        <w:rPr>
          <w:rFonts w:hint="eastAsia" w:ascii="宋体" w:hAnsi="宋体" w:eastAsia="方正仿宋简体" w:cs="方正仿宋简体"/>
          <w:sz w:val="32"/>
          <w:szCs w:val="32"/>
          <w:lang w:val="en-US" w:eastAsia="zh-CN"/>
        </w:rPr>
        <w:t>成品油零售市场整体发展较好，</w:t>
      </w:r>
      <w:r>
        <w:rPr>
          <w:rFonts w:hint="eastAsia" w:ascii="宋体" w:hAnsi="宋体" w:eastAsia="方正仿宋简体" w:cs="方正仿宋简体"/>
          <w:sz w:val="32"/>
          <w:szCs w:val="32"/>
        </w:rPr>
        <w:t>按照严格</w:t>
      </w:r>
      <w:r>
        <w:rPr>
          <w:rFonts w:hint="eastAsia" w:ascii="宋体" w:hAnsi="宋体" w:eastAsia="方正仿宋简体" w:cs="方正仿宋简体"/>
          <w:color w:val="000000"/>
          <w:sz w:val="32"/>
          <w:szCs w:val="32"/>
        </w:rPr>
        <w:t>“规划科学性与可操作性、规划与管理相结合、合理优化布局”</w:t>
      </w:r>
      <w:r>
        <w:rPr>
          <w:rFonts w:hint="eastAsia" w:ascii="宋体" w:hAnsi="宋体" w:eastAsia="方正仿宋简体" w:cs="方正仿宋简体"/>
          <w:color w:val="000000"/>
          <w:sz w:val="32"/>
          <w:szCs w:val="32"/>
          <w:lang w:eastAsia="zh-CN"/>
        </w:rPr>
        <w:t>和“</w:t>
      </w:r>
      <w:r>
        <w:rPr>
          <w:rFonts w:hint="eastAsia" w:ascii="宋体" w:hAnsi="宋体" w:eastAsia="方正仿宋简体" w:cs="方正仿宋简体"/>
          <w:sz w:val="32"/>
          <w:szCs w:val="32"/>
        </w:rPr>
        <w:t>总量控制、合理调整、适度发展</w:t>
      </w:r>
      <w:r>
        <w:rPr>
          <w:rFonts w:hint="eastAsia" w:ascii="宋体" w:hAnsi="宋体" w:eastAsia="方正仿宋简体" w:cs="方正仿宋简体"/>
          <w:sz w:val="32"/>
          <w:szCs w:val="32"/>
          <w:lang w:eastAsia="zh-CN"/>
        </w:rPr>
        <w:t>”</w:t>
      </w:r>
      <w:r>
        <w:rPr>
          <w:rFonts w:hint="eastAsia" w:ascii="宋体" w:hAnsi="宋体" w:eastAsia="方正仿宋简体" w:cs="方正仿宋简体"/>
          <w:sz w:val="32"/>
          <w:szCs w:val="32"/>
        </w:rPr>
        <w:t>的原则，在保证规模化经营的同时，兼顾民营经济发展，形成了规模适宜、布局合理的成品油</w:t>
      </w:r>
      <w:r>
        <w:rPr>
          <w:rFonts w:hint="eastAsia" w:ascii="宋体" w:hAnsi="宋体" w:eastAsia="方正仿宋简体" w:cs="方正仿宋简体"/>
          <w:sz w:val="32"/>
          <w:szCs w:val="32"/>
          <w:lang w:val="en-US" w:eastAsia="zh-CN"/>
        </w:rPr>
        <w:t>零售服务与</w:t>
      </w:r>
      <w:r>
        <w:rPr>
          <w:rFonts w:hint="eastAsia" w:ascii="宋体" w:hAnsi="宋体" w:eastAsia="方正仿宋简体" w:cs="方正仿宋简体"/>
          <w:sz w:val="32"/>
          <w:szCs w:val="32"/>
        </w:rPr>
        <w:t>分销体系网络。</w:t>
      </w:r>
      <w:r>
        <w:rPr>
          <w:rFonts w:hint="eastAsia" w:ascii="宋体" w:hAnsi="宋体" w:eastAsia="方正仿宋简体" w:cs="方正仿宋简体"/>
          <w:sz w:val="32"/>
          <w:szCs w:val="32"/>
          <w:lang w:val="en-US" w:eastAsia="zh-CN"/>
        </w:rPr>
        <w:t>加油站建设从规划、上报、批复、公示、建设、验收、经营、管理等各个环节严格把关，保证了师市的成品油市场的正常运转与经济社会发展需要。但对照新的经济发展要求，仍然存在一些问题，主要表现为：</w:t>
      </w:r>
    </w:p>
    <w:p>
      <w:pPr>
        <w:rPr>
          <w:rFonts w:hint="eastAsia" w:ascii="宋体" w:hAnsi="宋体" w:eastAsia="楷体_GB2312" w:cs="楷体_GB2312"/>
          <w:lang w:val="en-US" w:eastAsia="zh-CN"/>
        </w:rPr>
      </w:pPr>
      <w:r>
        <w:rPr>
          <w:rFonts w:hint="eastAsia" w:ascii="宋体" w:hAnsi="宋体" w:eastAsia="楷体_GB2312" w:cs="楷体_GB2312"/>
          <w:sz w:val="32"/>
          <w:szCs w:val="32"/>
          <w:lang w:val="en-US" w:eastAsia="zh-CN"/>
        </w:rPr>
        <w:t>一、</w:t>
      </w:r>
      <w:r>
        <w:rPr>
          <w:rFonts w:hint="eastAsia" w:ascii="宋体" w:hAnsi="宋体" w:eastAsia="楷体_GB2312" w:cs="楷体_GB2312"/>
          <w:lang w:val="en-US" w:eastAsia="zh-CN"/>
        </w:rPr>
        <w:t>加油站设施及服务有待进一步完善</w:t>
      </w:r>
    </w:p>
    <w:p>
      <w:pPr>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十三五</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规划期间，师市成品油销售系统</w:t>
      </w:r>
      <w:r>
        <w:rPr>
          <w:rFonts w:hint="eastAsia" w:ascii="宋体" w:hAnsi="宋体" w:eastAsia="方正仿宋简体" w:cs="方正仿宋简体"/>
          <w:sz w:val="32"/>
          <w:szCs w:val="32"/>
          <w:lang w:val="en-US" w:eastAsia="zh-CN"/>
        </w:rPr>
        <w:t>完成了</w:t>
      </w:r>
      <w:r>
        <w:rPr>
          <w:rFonts w:hint="default" w:ascii="宋体" w:hAnsi="宋体" w:eastAsia="方正仿宋简体" w:cs="方正仿宋简体"/>
          <w:sz w:val="32"/>
          <w:szCs w:val="32"/>
          <w:lang w:val="en-US" w:eastAsia="zh-CN"/>
        </w:rPr>
        <w:t>加油站</w:t>
      </w:r>
      <w:r>
        <w:rPr>
          <w:rFonts w:hint="eastAsia" w:ascii="宋体" w:hAnsi="宋体" w:eastAsia="方正仿宋简体" w:cs="方正仿宋简体"/>
          <w:sz w:val="32"/>
          <w:szCs w:val="32"/>
          <w:lang w:val="en-US" w:eastAsia="zh-CN"/>
        </w:rPr>
        <w:t>双层罐升级更换及加油站一体化防渗改造</w:t>
      </w:r>
      <w:r>
        <w:rPr>
          <w:rFonts w:hint="default" w:ascii="宋体" w:hAnsi="宋体" w:eastAsia="方正仿宋简体" w:cs="方正仿宋简体"/>
          <w:sz w:val="32"/>
          <w:szCs w:val="32"/>
          <w:lang w:val="en-US" w:eastAsia="zh-CN"/>
        </w:rPr>
        <w:t>工作，大幅度提高了加油站的</w:t>
      </w:r>
      <w:r>
        <w:rPr>
          <w:rFonts w:hint="eastAsia" w:ascii="宋体" w:hAnsi="宋体" w:eastAsia="方正仿宋简体" w:cs="方正仿宋简体"/>
          <w:sz w:val="32"/>
          <w:szCs w:val="32"/>
          <w:lang w:val="en-US" w:eastAsia="zh-CN"/>
        </w:rPr>
        <w:t>安全管理水平和服务能力，相关经营配套设备设施得到了全面提升改善</w:t>
      </w:r>
      <w:r>
        <w:rPr>
          <w:rFonts w:hint="default" w:ascii="宋体" w:hAnsi="宋体" w:eastAsia="方正仿宋简体" w:cs="方正仿宋简体"/>
          <w:sz w:val="32"/>
          <w:szCs w:val="32"/>
          <w:lang w:val="en-US" w:eastAsia="zh-CN"/>
        </w:rPr>
        <w:t>。但从目前的情况看，</w:t>
      </w:r>
      <w:r>
        <w:rPr>
          <w:rFonts w:hint="eastAsia" w:ascii="宋体" w:hAnsi="宋体" w:eastAsia="方正仿宋简体" w:cs="方正仿宋简体"/>
          <w:sz w:val="32"/>
          <w:szCs w:val="32"/>
          <w:lang w:val="en-US" w:eastAsia="zh-CN"/>
        </w:rPr>
        <w:t>仍有部分</w:t>
      </w:r>
      <w:r>
        <w:rPr>
          <w:rFonts w:hint="default" w:ascii="宋体" w:hAnsi="宋体" w:eastAsia="方正仿宋简体" w:cs="方正仿宋简体"/>
          <w:sz w:val="32"/>
          <w:szCs w:val="32"/>
          <w:lang w:val="en-US" w:eastAsia="zh-CN"/>
        </w:rPr>
        <w:t>加油站特别是</w:t>
      </w:r>
      <w:r>
        <w:rPr>
          <w:rFonts w:hint="eastAsia" w:ascii="宋体" w:hAnsi="宋体" w:eastAsia="方正仿宋简体" w:cs="方正仿宋简体"/>
          <w:sz w:val="32"/>
          <w:szCs w:val="32"/>
          <w:lang w:val="en-US" w:eastAsia="zh-CN"/>
        </w:rPr>
        <w:t>个别</w:t>
      </w:r>
      <w:r>
        <w:rPr>
          <w:rFonts w:hint="default" w:ascii="宋体" w:hAnsi="宋体" w:eastAsia="方正仿宋简体" w:cs="方正仿宋简体"/>
          <w:sz w:val="32"/>
          <w:szCs w:val="32"/>
          <w:lang w:val="en-US" w:eastAsia="zh-CN"/>
        </w:rPr>
        <w:t>团</w:t>
      </w:r>
      <w:r>
        <w:rPr>
          <w:rFonts w:hint="eastAsia" w:ascii="宋体" w:hAnsi="宋体" w:eastAsia="方正仿宋简体" w:cs="方正仿宋简体"/>
          <w:sz w:val="32"/>
          <w:szCs w:val="32"/>
          <w:lang w:val="en-US" w:eastAsia="zh-CN"/>
        </w:rPr>
        <w:t>（镇）</w:t>
      </w:r>
      <w:r>
        <w:rPr>
          <w:rFonts w:hint="default" w:ascii="宋体" w:hAnsi="宋体" w:eastAsia="方正仿宋简体" w:cs="方正仿宋简体"/>
          <w:sz w:val="32"/>
          <w:szCs w:val="32"/>
          <w:lang w:val="en-US" w:eastAsia="zh-CN"/>
        </w:rPr>
        <w:t>加油站存在</w:t>
      </w:r>
      <w:r>
        <w:rPr>
          <w:rFonts w:hint="eastAsia" w:ascii="宋体" w:hAnsi="宋体" w:eastAsia="方正仿宋简体" w:cs="方正仿宋简体"/>
          <w:sz w:val="32"/>
          <w:szCs w:val="32"/>
          <w:lang w:val="en-US" w:eastAsia="zh-CN"/>
        </w:rPr>
        <w:t>场地狭窄</w:t>
      </w:r>
      <w:r>
        <w:rPr>
          <w:rFonts w:hint="default" w:ascii="宋体" w:hAnsi="宋体" w:eastAsia="方正仿宋简体" w:cs="方正仿宋简体"/>
          <w:sz w:val="32"/>
          <w:szCs w:val="32"/>
          <w:lang w:val="en-US" w:eastAsia="zh-CN"/>
        </w:rPr>
        <w:t>、规模</w:t>
      </w:r>
      <w:r>
        <w:rPr>
          <w:rFonts w:hint="eastAsia" w:ascii="宋体" w:hAnsi="宋体" w:eastAsia="方正仿宋简体" w:cs="方正仿宋简体"/>
          <w:sz w:val="32"/>
          <w:szCs w:val="32"/>
          <w:lang w:val="en-US" w:eastAsia="zh-CN"/>
        </w:rPr>
        <w:t>较</w:t>
      </w:r>
      <w:r>
        <w:rPr>
          <w:rFonts w:hint="default" w:ascii="宋体" w:hAnsi="宋体" w:eastAsia="方正仿宋简体" w:cs="方正仿宋简体"/>
          <w:sz w:val="32"/>
          <w:szCs w:val="32"/>
          <w:lang w:val="en-US" w:eastAsia="zh-CN"/>
        </w:rPr>
        <w:t>小、经营模式单一的问题，一定程度上制约了成品油零售体系的高质量发展。同时，</w:t>
      </w:r>
      <w:r>
        <w:rPr>
          <w:rFonts w:hint="eastAsia" w:ascii="宋体" w:hAnsi="宋体" w:eastAsia="方正仿宋简体" w:cs="方正仿宋简体"/>
          <w:sz w:val="32"/>
          <w:szCs w:val="32"/>
          <w:lang w:val="en-US" w:eastAsia="zh-CN"/>
        </w:rPr>
        <w:t>加油站相关</w:t>
      </w:r>
      <w:r>
        <w:rPr>
          <w:rFonts w:hint="default" w:ascii="宋体" w:hAnsi="宋体" w:eastAsia="方正仿宋简体" w:cs="方正仿宋简体"/>
          <w:sz w:val="32"/>
          <w:szCs w:val="32"/>
          <w:lang w:val="en-US" w:eastAsia="zh-CN"/>
        </w:rPr>
        <w:t>管理制度</w:t>
      </w:r>
      <w:r>
        <w:rPr>
          <w:rFonts w:hint="eastAsia" w:ascii="宋体" w:hAnsi="宋体" w:eastAsia="方正仿宋简体" w:cs="方正仿宋简体"/>
          <w:sz w:val="32"/>
          <w:szCs w:val="32"/>
          <w:lang w:val="en-US" w:eastAsia="zh-CN"/>
        </w:rPr>
        <w:t>落实有待进一步深入</w:t>
      </w:r>
      <w:r>
        <w:rPr>
          <w:rFonts w:hint="default" w:ascii="宋体" w:hAnsi="宋体" w:eastAsia="方正仿宋简体" w:cs="方正仿宋简体"/>
          <w:sz w:val="32"/>
          <w:szCs w:val="32"/>
          <w:lang w:val="en-US" w:eastAsia="zh-CN"/>
        </w:rPr>
        <w:t>，部分加油站</w:t>
      </w:r>
      <w:r>
        <w:rPr>
          <w:rFonts w:hint="eastAsia" w:ascii="宋体" w:hAnsi="宋体" w:eastAsia="方正仿宋简体" w:cs="方正仿宋简体"/>
          <w:sz w:val="32"/>
          <w:szCs w:val="32"/>
          <w:lang w:val="en-US" w:eastAsia="zh-CN"/>
        </w:rPr>
        <w:t>服务人手不足、站前</w:t>
      </w:r>
      <w:r>
        <w:rPr>
          <w:rFonts w:hint="default" w:ascii="宋体" w:hAnsi="宋体" w:eastAsia="方正仿宋简体" w:cs="方正仿宋简体"/>
          <w:sz w:val="32"/>
          <w:szCs w:val="32"/>
          <w:lang w:val="en-US" w:eastAsia="zh-CN"/>
        </w:rPr>
        <w:t>规范服务水平不高，不能有效满足消费者对经营服务质量的需求，须进一步提高加油站经营</w:t>
      </w:r>
      <w:r>
        <w:rPr>
          <w:rFonts w:hint="eastAsia" w:ascii="宋体" w:hAnsi="宋体" w:eastAsia="方正仿宋简体" w:cs="方正仿宋简体"/>
          <w:sz w:val="32"/>
          <w:szCs w:val="32"/>
          <w:lang w:val="en-US" w:eastAsia="zh-CN"/>
        </w:rPr>
        <w:t>管理水平</w:t>
      </w:r>
      <w:r>
        <w:rPr>
          <w:rFonts w:hint="default" w:ascii="宋体" w:hAnsi="宋体" w:eastAsia="方正仿宋简体" w:cs="方正仿宋简体"/>
          <w:sz w:val="32"/>
          <w:szCs w:val="32"/>
          <w:lang w:val="en-US" w:eastAsia="zh-CN"/>
        </w:rPr>
        <w:t>与服务质量</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如</w:t>
      </w:r>
      <w:r>
        <w:rPr>
          <w:rFonts w:hint="eastAsia" w:ascii="宋体" w:hAnsi="宋体" w:eastAsia="方正仿宋简体" w:cs="方正仿宋简体"/>
          <w:sz w:val="32"/>
          <w:szCs w:val="32"/>
          <w:lang w:val="en-US" w:eastAsia="zh-CN"/>
        </w:rPr>
        <w:t>完善细化各项</w:t>
      </w:r>
      <w:r>
        <w:rPr>
          <w:rFonts w:hint="default" w:ascii="宋体" w:hAnsi="宋体" w:eastAsia="方正仿宋简体" w:cs="方正仿宋简体"/>
          <w:sz w:val="32"/>
          <w:szCs w:val="32"/>
          <w:lang w:val="en-US" w:eastAsia="zh-CN"/>
        </w:rPr>
        <w:t>规章制度</w:t>
      </w:r>
      <w:r>
        <w:rPr>
          <w:rFonts w:hint="eastAsia" w:ascii="宋体" w:hAnsi="宋体" w:eastAsia="方正仿宋简体" w:cs="方正仿宋简体"/>
          <w:sz w:val="32"/>
          <w:szCs w:val="32"/>
          <w:lang w:val="en-US" w:eastAsia="zh-CN"/>
        </w:rPr>
        <w:t>并高效落实，</w:t>
      </w:r>
      <w:r>
        <w:rPr>
          <w:rFonts w:hint="default" w:ascii="宋体" w:hAnsi="宋体" w:eastAsia="方正仿宋简体" w:cs="方正仿宋简体"/>
          <w:sz w:val="32"/>
          <w:szCs w:val="32"/>
          <w:lang w:val="en-US" w:eastAsia="zh-CN"/>
        </w:rPr>
        <w:t>增设自动</w:t>
      </w:r>
      <w:r>
        <w:rPr>
          <w:rFonts w:hint="eastAsia" w:ascii="宋体" w:hAnsi="宋体" w:eastAsia="方正仿宋简体" w:cs="方正仿宋简体"/>
          <w:sz w:val="32"/>
          <w:szCs w:val="32"/>
          <w:lang w:val="en-US" w:eastAsia="zh-CN"/>
        </w:rPr>
        <w:t>洗车设备</w:t>
      </w:r>
      <w:r>
        <w:rPr>
          <w:rFonts w:hint="default" w:ascii="宋体" w:hAnsi="宋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施画</w:t>
      </w:r>
      <w:r>
        <w:rPr>
          <w:rFonts w:hint="default" w:ascii="宋体" w:hAnsi="宋体" w:eastAsia="方正仿宋简体" w:cs="方正仿宋简体"/>
          <w:sz w:val="32"/>
          <w:szCs w:val="32"/>
          <w:lang w:val="en-US" w:eastAsia="zh-CN"/>
        </w:rPr>
        <w:t>安全</w:t>
      </w:r>
      <w:r>
        <w:rPr>
          <w:rFonts w:hint="eastAsia" w:ascii="宋体" w:hAnsi="宋体" w:eastAsia="方正仿宋简体" w:cs="方正仿宋简体"/>
          <w:sz w:val="32"/>
          <w:szCs w:val="32"/>
          <w:lang w:val="en-US" w:eastAsia="zh-CN"/>
        </w:rPr>
        <w:t>标线</w:t>
      </w:r>
      <w:r>
        <w:rPr>
          <w:rFonts w:hint="default" w:ascii="宋体" w:hAnsi="宋体" w:eastAsia="方正仿宋简体" w:cs="方正仿宋简体"/>
          <w:sz w:val="32"/>
          <w:szCs w:val="32"/>
          <w:lang w:val="en-US" w:eastAsia="zh-CN"/>
        </w:rPr>
        <w:t>、</w:t>
      </w:r>
      <w:r>
        <w:rPr>
          <w:rFonts w:hint="eastAsia" w:ascii="宋体" w:hAnsi="宋体" w:eastAsia="方正仿宋简体" w:cs="方正仿宋简体"/>
          <w:sz w:val="32"/>
          <w:szCs w:val="32"/>
          <w:lang w:val="en-US" w:eastAsia="zh-CN"/>
        </w:rPr>
        <w:t>加设</w:t>
      </w:r>
      <w:r>
        <w:rPr>
          <w:rFonts w:hint="default" w:ascii="宋体" w:hAnsi="宋体" w:eastAsia="方正仿宋简体" w:cs="方正仿宋简体"/>
          <w:sz w:val="32"/>
          <w:szCs w:val="32"/>
          <w:lang w:val="en-US" w:eastAsia="zh-CN"/>
        </w:rPr>
        <w:t>充电桩</w:t>
      </w:r>
      <w:r>
        <w:rPr>
          <w:rFonts w:hint="eastAsia" w:ascii="宋体" w:hAnsi="宋体" w:eastAsia="方正仿宋简体" w:cs="方正仿宋简体"/>
          <w:sz w:val="32"/>
          <w:szCs w:val="32"/>
          <w:lang w:val="en-US" w:eastAsia="zh-CN"/>
        </w:rPr>
        <w:t>，代收代缴水、电、暖相关便民服务的</w:t>
      </w:r>
      <w:r>
        <w:rPr>
          <w:rFonts w:hint="default" w:ascii="宋体" w:hAnsi="宋体" w:eastAsia="方正仿宋简体" w:cs="方正仿宋简体"/>
          <w:sz w:val="32"/>
          <w:szCs w:val="32"/>
          <w:lang w:val="en-US" w:eastAsia="zh-CN"/>
        </w:rPr>
        <w:t>便民利民场所</w:t>
      </w:r>
      <w:r>
        <w:rPr>
          <w:rFonts w:hint="eastAsia" w:ascii="宋体" w:hAnsi="宋体" w:eastAsia="方正仿宋简体" w:cs="方正仿宋简体"/>
          <w:sz w:val="32"/>
          <w:szCs w:val="32"/>
          <w:lang w:val="en-US" w:eastAsia="zh-CN"/>
        </w:rPr>
        <w:t>，联合保险、银行、快修提供第三方增值服务等。同时</w:t>
      </w:r>
      <w:r>
        <w:rPr>
          <w:rFonts w:hint="default" w:ascii="宋体" w:hAnsi="宋体" w:eastAsia="方正仿宋简体" w:cs="方正仿宋简体"/>
          <w:sz w:val="32"/>
          <w:szCs w:val="32"/>
          <w:lang w:val="en-US" w:eastAsia="zh-CN"/>
        </w:rPr>
        <w:t>为</w:t>
      </w:r>
      <w:r>
        <w:rPr>
          <w:rFonts w:hint="eastAsia" w:ascii="宋体" w:hAnsi="宋体" w:eastAsia="方正仿宋简体" w:cs="方正仿宋简体"/>
          <w:sz w:val="32"/>
          <w:szCs w:val="32"/>
          <w:lang w:val="en-US" w:eastAsia="zh-CN"/>
        </w:rPr>
        <w:t>进一步</w:t>
      </w:r>
      <w:r>
        <w:rPr>
          <w:rFonts w:hint="default" w:ascii="宋体" w:hAnsi="宋体" w:eastAsia="方正仿宋简体" w:cs="方正仿宋简体"/>
          <w:sz w:val="32"/>
          <w:szCs w:val="32"/>
          <w:lang w:val="en-US" w:eastAsia="zh-CN"/>
        </w:rPr>
        <w:t>提升服务</w:t>
      </w:r>
      <w:r>
        <w:rPr>
          <w:rFonts w:hint="eastAsia" w:ascii="宋体" w:hAnsi="宋体" w:eastAsia="方正仿宋简体" w:cs="方正仿宋简体"/>
          <w:sz w:val="32"/>
          <w:szCs w:val="32"/>
          <w:lang w:val="en-US" w:eastAsia="zh-CN"/>
        </w:rPr>
        <w:t>质量和</w:t>
      </w:r>
      <w:r>
        <w:rPr>
          <w:rFonts w:hint="default" w:ascii="宋体" w:hAnsi="宋体" w:eastAsia="方正仿宋简体" w:cs="方正仿宋简体"/>
          <w:sz w:val="32"/>
          <w:szCs w:val="32"/>
          <w:lang w:val="en-US" w:eastAsia="zh-CN"/>
        </w:rPr>
        <w:t>水平，</w:t>
      </w:r>
      <w:r>
        <w:rPr>
          <w:rFonts w:hint="eastAsia" w:ascii="宋体" w:hAnsi="宋体" w:eastAsia="方正仿宋简体" w:cs="方正仿宋简体"/>
          <w:sz w:val="32"/>
          <w:szCs w:val="32"/>
          <w:lang w:val="en-US" w:eastAsia="zh-CN"/>
        </w:rPr>
        <w:t>在有条件的国省道、</w:t>
      </w:r>
      <w:r>
        <w:rPr>
          <w:rFonts w:hint="default" w:ascii="宋体" w:hAnsi="宋体" w:eastAsia="方正仿宋简体" w:cs="方正仿宋简体"/>
          <w:sz w:val="32"/>
          <w:szCs w:val="32"/>
          <w:lang w:val="en-US" w:eastAsia="zh-CN"/>
        </w:rPr>
        <w:t>高速路</w:t>
      </w:r>
      <w:r>
        <w:rPr>
          <w:rFonts w:hint="eastAsia" w:ascii="宋体" w:hAnsi="宋体" w:eastAsia="方正仿宋简体" w:cs="方正仿宋简体"/>
          <w:sz w:val="32"/>
          <w:szCs w:val="32"/>
          <w:lang w:val="en-US" w:eastAsia="zh-CN"/>
        </w:rPr>
        <w:t>加油站开展住宿、餐饮、维修、购物、充电等多方位服务项目。</w:t>
      </w:r>
    </w:p>
    <w:p>
      <w:pPr>
        <w:rPr>
          <w:rFonts w:hint="eastAsia" w:ascii="宋体" w:hAnsi="宋体" w:eastAsia="楷体_GB2312" w:cs="楷体_GB2312"/>
          <w:lang w:val="en-US" w:eastAsia="zh-CN"/>
        </w:rPr>
      </w:pPr>
      <w:r>
        <w:rPr>
          <w:rFonts w:hint="eastAsia" w:ascii="宋体" w:hAnsi="宋体" w:eastAsia="楷体_GB2312" w:cs="楷体_GB2312"/>
          <w:sz w:val="32"/>
          <w:szCs w:val="32"/>
          <w:lang w:val="en-US" w:eastAsia="zh-CN"/>
        </w:rPr>
        <w:t>二、</w:t>
      </w:r>
      <w:r>
        <w:rPr>
          <w:rFonts w:hint="eastAsia" w:ascii="宋体" w:hAnsi="宋体" w:eastAsia="楷体_GB2312" w:cs="楷体_GB2312"/>
          <w:lang w:val="en-US" w:eastAsia="zh-CN"/>
        </w:rPr>
        <w:t>多元化经营进程缓慢</w:t>
      </w:r>
    </w:p>
    <w:p>
      <w:pPr>
        <w:rPr>
          <w:rFonts w:hint="default"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十三五</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期间</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师市</w:t>
      </w:r>
      <w:r>
        <w:rPr>
          <w:rFonts w:hint="eastAsia" w:ascii="宋体" w:hAnsi="宋体" w:eastAsia="方正仿宋简体" w:cs="方正仿宋简体"/>
          <w:sz w:val="32"/>
          <w:szCs w:val="32"/>
          <w:lang w:val="en-US" w:eastAsia="zh-CN"/>
        </w:rPr>
        <w:t>用油</w:t>
      </w:r>
      <w:r>
        <w:rPr>
          <w:rFonts w:hint="default" w:ascii="宋体" w:hAnsi="宋体" w:eastAsia="方正仿宋简体" w:cs="方正仿宋简体"/>
          <w:sz w:val="32"/>
          <w:szCs w:val="32"/>
          <w:lang w:val="en-US" w:eastAsia="zh-CN"/>
        </w:rPr>
        <w:t>需求</w:t>
      </w:r>
      <w:r>
        <w:rPr>
          <w:rFonts w:hint="eastAsia" w:ascii="宋体" w:hAnsi="宋体" w:eastAsia="方正仿宋简体" w:cs="方正仿宋简体"/>
          <w:sz w:val="32"/>
          <w:szCs w:val="32"/>
          <w:lang w:val="en-US" w:eastAsia="zh-CN"/>
        </w:rPr>
        <w:t>不断</w:t>
      </w:r>
      <w:r>
        <w:rPr>
          <w:rFonts w:hint="default" w:ascii="宋体" w:hAnsi="宋体" w:eastAsia="方正仿宋简体" w:cs="方正仿宋简体"/>
          <w:sz w:val="32"/>
          <w:szCs w:val="32"/>
          <w:lang w:val="en-US" w:eastAsia="zh-CN"/>
        </w:rPr>
        <w:t>扩大</w:t>
      </w:r>
      <w:r>
        <w:rPr>
          <w:rFonts w:hint="eastAsia" w:ascii="宋体" w:hAnsi="宋体" w:eastAsia="方正仿宋简体" w:cs="方正仿宋简体"/>
          <w:sz w:val="32"/>
          <w:szCs w:val="32"/>
          <w:lang w:val="en-US" w:eastAsia="zh-CN"/>
        </w:rPr>
        <w:t>，而</w:t>
      </w:r>
      <w:r>
        <w:rPr>
          <w:rFonts w:hint="default" w:ascii="宋体" w:hAnsi="宋体" w:eastAsia="方正仿宋简体" w:cs="方正仿宋简体"/>
          <w:sz w:val="32"/>
          <w:szCs w:val="32"/>
          <w:lang w:val="en-US" w:eastAsia="zh-CN"/>
        </w:rPr>
        <w:t>加油站存在油品利润趋薄、利润增长点不足、</w:t>
      </w:r>
      <w:r>
        <w:rPr>
          <w:rFonts w:hint="eastAsia" w:ascii="宋体" w:hAnsi="宋体" w:eastAsia="方正仿宋简体" w:cs="方正仿宋简体"/>
          <w:sz w:val="32"/>
          <w:szCs w:val="32"/>
          <w:lang w:val="en-US" w:eastAsia="zh-CN"/>
        </w:rPr>
        <w:t>外部竞争压力大</w:t>
      </w:r>
      <w:r>
        <w:rPr>
          <w:rFonts w:hint="default" w:ascii="宋体" w:hAnsi="宋体" w:eastAsia="方正仿宋简体" w:cs="方正仿宋简体"/>
          <w:sz w:val="32"/>
          <w:szCs w:val="32"/>
          <w:lang w:val="en-US" w:eastAsia="zh-CN"/>
        </w:rPr>
        <w:t>、竞争能力较</w:t>
      </w:r>
      <w:r>
        <w:rPr>
          <w:rFonts w:hint="eastAsia" w:ascii="宋体" w:hAnsi="宋体" w:eastAsia="方正仿宋简体" w:cs="方正仿宋简体"/>
          <w:sz w:val="32"/>
          <w:szCs w:val="32"/>
          <w:lang w:val="en-US" w:eastAsia="zh-CN"/>
        </w:rPr>
        <w:t>弱</w:t>
      </w:r>
      <w:r>
        <w:rPr>
          <w:rFonts w:hint="default" w:ascii="宋体" w:hAnsi="宋体" w:eastAsia="方正仿宋简体" w:cs="方正仿宋简体"/>
          <w:sz w:val="32"/>
          <w:szCs w:val="32"/>
          <w:lang w:val="en-US" w:eastAsia="zh-CN"/>
        </w:rPr>
        <w:t>等问题</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从长远来看，非油</w:t>
      </w:r>
      <w:r>
        <w:rPr>
          <w:rFonts w:hint="eastAsia" w:ascii="宋体" w:hAnsi="宋体" w:eastAsia="方正仿宋简体" w:cs="方正仿宋简体"/>
          <w:sz w:val="32"/>
          <w:szCs w:val="32"/>
          <w:lang w:val="en-US" w:eastAsia="zh-CN"/>
        </w:rPr>
        <w:t>商</w:t>
      </w:r>
      <w:r>
        <w:rPr>
          <w:rFonts w:hint="default" w:ascii="宋体" w:hAnsi="宋体" w:eastAsia="方正仿宋简体" w:cs="方正仿宋简体"/>
          <w:sz w:val="32"/>
          <w:szCs w:val="32"/>
          <w:lang w:val="en-US" w:eastAsia="zh-CN"/>
        </w:rPr>
        <w:t>品必然取代油品成为加油站新的利润增长点，多元化经营势在必行。但师市部分加油站建筑、场地闲置，没有充分利用有利条件开展加气业务和充电业务</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非油</w:t>
      </w:r>
      <w:r>
        <w:rPr>
          <w:rFonts w:hint="eastAsia" w:ascii="宋体" w:hAnsi="宋体" w:eastAsia="方正仿宋简体" w:cs="方正仿宋简体"/>
          <w:sz w:val="32"/>
          <w:szCs w:val="32"/>
          <w:lang w:val="en-US" w:eastAsia="zh-CN"/>
        </w:rPr>
        <w:t>商</w:t>
      </w:r>
      <w:r>
        <w:rPr>
          <w:rFonts w:hint="default" w:ascii="宋体" w:hAnsi="宋体" w:eastAsia="方正仿宋简体" w:cs="方正仿宋简体"/>
          <w:sz w:val="32"/>
          <w:szCs w:val="32"/>
          <w:lang w:val="en-US" w:eastAsia="zh-CN"/>
        </w:rPr>
        <w:t>品</w:t>
      </w:r>
      <w:r>
        <w:rPr>
          <w:rFonts w:hint="eastAsia" w:ascii="宋体" w:hAnsi="宋体" w:eastAsia="方正仿宋简体" w:cs="方正仿宋简体"/>
          <w:sz w:val="32"/>
          <w:szCs w:val="32"/>
          <w:lang w:val="en-US" w:eastAsia="zh-CN"/>
        </w:rPr>
        <w:t>销售</w:t>
      </w:r>
      <w:r>
        <w:rPr>
          <w:rFonts w:hint="default" w:ascii="宋体" w:hAnsi="宋体" w:eastAsia="方正仿宋简体" w:cs="方正仿宋简体"/>
          <w:sz w:val="32"/>
          <w:szCs w:val="32"/>
          <w:lang w:val="en-US" w:eastAsia="zh-CN"/>
        </w:rPr>
        <w:t>、汽车服务、电商、代售</w:t>
      </w:r>
      <w:r>
        <w:rPr>
          <w:rFonts w:hint="eastAsia" w:ascii="宋体" w:hAnsi="宋体" w:eastAsia="方正仿宋简体" w:cs="方正仿宋简体"/>
          <w:sz w:val="32"/>
          <w:szCs w:val="32"/>
          <w:lang w:val="en-US" w:eastAsia="zh-CN"/>
        </w:rPr>
        <w:t>代收</w:t>
      </w:r>
      <w:r>
        <w:rPr>
          <w:rFonts w:hint="default" w:ascii="宋体" w:hAnsi="宋体" w:eastAsia="方正仿宋简体" w:cs="方正仿宋简体"/>
          <w:sz w:val="32"/>
          <w:szCs w:val="32"/>
          <w:lang w:val="en-US" w:eastAsia="zh-CN"/>
        </w:rPr>
        <w:t>等多元化经营进展缓慢，</w:t>
      </w:r>
      <w:r>
        <w:rPr>
          <w:rFonts w:hint="eastAsia" w:ascii="宋体" w:hAnsi="宋体" w:eastAsia="方正仿宋简体" w:cs="方正仿宋简体"/>
          <w:sz w:val="32"/>
          <w:szCs w:val="32"/>
          <w:lang w:val="en-US" w:eastAsia="zh-CN"/>
        </w:rPr>
        <w:t>不利于师</w:t>
      </w:r>
      <w:r>
        <w:rPr>
          <w:rFonts w:hint="default" w:ascii="宋体" w:hAnsi="宋体" w:eastAsia="方正仿宋简体" w:cs="方正仿宋简体"/>
          <w:sz w:val="32"/>
          <w:szCs w:val="32"/>
          <w:lang w:val="en-US" w:eastAsia="zh-CN"/>
        </w:rPr>
        <w:t>市社会经济发展</w:t>
      </w:r>
      <w:r>
        <w:rPr>
          <w:rFonts w:hint="eastAsia" w:ascii="宋体" w:hAnsi="宋体" w:eastAsia="方正仿宋简体" w:cs="方正仿宋简体"/>
          <w:sz w:val="32"/>
          <w:szCs w:val="32"/>
          <w:lang w:val="en-US" w:eastAsia="zh-CN"/>
        </w:rPr>
        <w:t>要求</w:t>
      </w:r>
      <w:r>
        <w:rPr>
          <w:rFonts w:hint="default" w:ascii="宋体" w:hAnsi="宋体" w:eastAsia="方正仿宋简体" w:cs="方正仿宋简体"/>
          <w:sz w:val="32"/>
          <w:szCs w:val="32"/>
          <w:lang w:val="en-US" w:eastAsia="zh-CN"/>
        </w:rPr>
        <w:t>。</w:t>
      </w:r>
    </w:p>
    <w:p>
      <w:pPr>
        <w:rPr>
          <w:rFonts w:hint="default" w:ascii="宋体" w:hAnsi="宋体" w:eastAsia="方正仿宋简体" w:cs="方正仿宋简体"/>
          <w:sz w:val="32"/>
          <w:szCs w:val="32"/>
          <w:lang w:val="en-US" w:eastAsia="zh-CN"/>
        </w:rPr>
      </w:pPr>
      <w:r>
        <w:rPr>
          <w:rFonts w:hint="eastAsia" w:ascii="宋体" w:hAnsi="宋体" w:eastAsia="楷体_GB2312" w:cs="楷体_GB2312"/>
          <w:sz w:val="32"/>
          <w:szCs w:val="32"/>
          <w:lang w:val="en-US" w:eastAsia="zh-CN"/>
        </w:rPr>
        <w:t>三、站点布局相对集中，仍需改善</w:t>
      </w:r>
    </w:p>
    <w:p>
      <w:pPr>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十三五</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规划当中，加油站主要以</w:t>
      </w:r>
      <w:r>
        <w:rPr>
          <w:rFonts w:hint="eastAsia" w:ascii="宋体" w:hAnsi="宋体" w:eastAsia="方正仿宋简体" w:cs="方正仿宋简体"/>
          <w:sz w:val="32"/>
          <w:szCs w:val="32"/>
          <w:lang w:val="en-US" w:eastAsia="zh-CN"/>
        </w:rPr>
        <w:t>师市及团（镇）</w:t>
      </w:r>
      <w:r>
        <w:rPr>
          <w:rFonts w:hint="default" w:ascii="宋体" w:hAnsi="宋体" w:eastAsia="方正仿宋简体" w:cs="方正仿宋简体"/>
          <w:sz w:val="32"/>
          <w:szCs w:val="32"/>
          <w:lang w:val="en-US" w:eastAsia="zh-CN"/>
        </w:rPr>
        <w:t>周边</w:t>
      </w:r>
      <w:r>
        <w:rPr>
          <w:rFonts w:hint="eastAsia" w:ascii="宋体" w:hAnsi="宋体" w:eastAsia="方正仿宋简体" w:cs="方正仿宋简体"/>
          <w:sz w:val="32"/>
          <w:szCs w:val="32"/>
          <w:lang w:val="en-US" w:eastAsia="zh-CN"/>
        </w:rPr>
        <w:t>、辖区国省道沿线</w:t>
      </w:r>
      <w:r>
        <w:rPr>
          <w:rFonts w:hint="default" w:ascii="宋体" w:hAnsi="宋体" w:eastAsia="方正仿宋简体" w:cs="方正仿宋简体"/>
          <w:sz w:val="32"/>
          <w:szCs w:val="32"/>
          <w:lang w:val="en-US" w:eastAsia="zh-CN"/>
        </w:rPr>
        <w:t>进行发展</w:t>
      </w:r>
      <w:r>
        <w:rPr>
          <w:rFonts w:hint="eastAsia" w:ascii="宋体" w:hAnsi="宋体" w:eastAsia="方正仿宋简体" w:cs="方正仿宋简体"/>
          <w:sz w:val="32"/>
          <w:szCs w:val="32"/>
          <w:lang w:val="en-US" w:eastAsia="zh-CN"/>
        </w:rPr>
        <w:t>且相对集中，加油站驻地生态环境的承载压力较大，而部分偏远团（镇）</w:t>
      </w:r>
      <w:r>
        <w:rPr>
          <w:rFonts w:hint="default" w:ascii="宋体" w:hAnsi="宋体" w:eastAsia="方正仿宋简体" w:cs="方正仿宋简体"/>
          <w:sz w:val="32"/>
          <w:szCs w:val="32"/>
          <w:lang w:val="en-US" w:eastAsia="zh-CN"/>
        </w:rPr>
        <w:t>布局</w:t>
      </w:r>
      <w:r>
        <w:rPr>
          <w:rFonts w:hint="eastAsia" w:ascii="宋体" w:hAnsi="宋体" w:eastAsia="方正仿宋简体" w:cs="方正仿宋简体"/>
          <w:sz w:val="32"/>
          <w:szCs w:val="32"/>
          <w:lang w:val="en-US" w:eastAsia="zh-CN"/>
        </w:rPr>
        <w:t>较</w:t>
      </w:r>
      <w:r>
        <w:rPr>
          <w:rFonts w:hint="default" w:ascii="宋体" w:hAnsi="宋体" w:eastAsia="方正仿宋简体" w:cs="方正仿宋简体"/>
          <w:sz w:val="32"/>
          <w:szCs w:val="32"/>
          <w:lang w:val="en-US" w:eastAsia="zh-CN"/>
        </w:rPr>
        <w:t>少</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服务半径偏大。随着师市社会经济的快速发展</w:t>
      </w:r>
      <w:r>
        <w:rPr>
          <w:rFonts w:hint="eastAsia" w:ascii="宋体" w:hAnsi="宋体" w:eastAsia="方正仿宋简体" w:cs="方正仿宋简体"/>
          <w:sz w:val="32"/>
          <w:szCs w:val="32"/>
          <w:lang w:val="en-US" w:eastAsia="zh-CN"/>
        </w:rPr>
        <w:t>及</w:t>
      </w:r>
      <w:r>
        <w:rPr>
          <w:rFonts w:hint="default" w:ascii="宋体" w:hAnsi="宋体" w:eastAsia="方正仿宋简体" w:cs="方正仿宋简体"/>
          <w:sz w:val="32"/>
          <w:szCs w:val="32"/>
          <w:lang w:val="en-US" w:eastAsia="zh-CN"/>
        </w:rPr>
        <w:t>交通路网的不断扩充，各类等级公路的加快建设以及部分</w:t>
      </w:r>
      <w:r>
        <w:rPr>
          <w:rFonts w:hint="eastAsia" w:ascii="宋体" w:hAnsi="宋体" w:eastAsia="方正仿宋简体" w:cs="方正仿宋简体"/>
          <w:sz w:val="32"/>
          <w:szCs w:val="32"/>
          <w:lang w:val="en-US" w:eastAsia="zh-CN"/>
        </w:rPr>
        <w:t>偏</w:t>
      </w:r>
      <w:r>
        <w:rPr>
          <w:rFonts w:hint="default" w:ascii="宋体" w:hAnsi="宋体" w:eastAsia="方正仿宋简体" w:cs="方正仿宋简体"/>
          <w:sz w:val="32"/>
          <w:szCs w:val="32"/>
          <w:lang w:val="en-US" w:eastAsia="zh-CN"/>
        </w:rPr>
        <w:t>远团场用油需求日益增强</w:t>
      </w:r>
      <w:r>
        <w:rPr>
          <w:rFonts w:hint="eastAsia" w:ascii="宋体" w:hAnsi="宋体" w:eastAsia="方正仿宋简体" w:cs="方正仿宋简体"/>
          <w:sz w:val="32"/>
          <w:szCs w:val="32"/>
          <w:lang w:val="en-US" w:eastAsia="zh-CN"/>
        </w:rPr>
        <w:t>，</w:t>
      </w:r>
      <w:r>
        <w:rPr>
          <w:rFonts w:hint="default" w:ascii="宋体" w:hAnsi="宋体" w:eastAsia="方正仿宋简体" w:cs="方正仿宋简体"/>
          <w:sz w:val="32"/>
          <w:szCs w:val="32"/>
          <w:lang w:val="en-US" w:eastAsia="zh-CN"/>
        </w:rPr>
        <w:t>现有加油站布局在一定程度上无法满足过往车辆和附近居民用油需求</w:t>
      </w:r>
      <w:r>
        <w:rPr>
          <w:rFonts w:hint="eastAsia" w:ascii="宋体" w:hAnsi="宋体" w:eastAsia="方正仿宋简体" w:cs="方正仿宋简体"/>
          <w:sz w:val="32"/>
          <w:szCs w:val="32"/>
          <w:lang w:val="en-US" w:eastAsia="zh-CN"/>
        </w:rPr>
        <w:t>，相对集中的加油站竞争激烈且造成资源浪费，</w:t>
      </w:r>
      <w:r>
        <w:rPr>
          <w:rFonts w:hint="default" w:ascii="宋体" w:hAnsi="宋体" w:eastAsia="方正仿宋简体" w:cs="方正仿宋简体"/>
          <w:sz w:val="32"/>
          <w:szCs w:val="32"/>
          <w:lang w:val="en-US" w:eastAsia="zh-CN"/>
        </w:rPr>
        <w:t>更不能满足师市经济社会</w:t>
      </w:r>
      <w:r>
        <w:rPr>
          <w:rFonts w:hint="eastAsia" w:ascii="宋体" w:hAnsi="宋体" w:eastAsia="方正仿宋简体" w:cs="方正仿宋简体"/>
          <w:sz w:val="32"/>
          <w:szCs w:val="32"/>
          <w:lang w:val="en-US" w:eastAsia="zh-CN"/>
        </w:rPr>
        <w:t>良性</w:t>
      </w:r>
      <w:r>
        <w:rPr>
          <w:rFonts w:hint="default" w:ascii="宋体" w:hAnsi="宋体" w:eastAsia="方正仿宋简体" w:cs="方正仿宋简体"/>
          <w:sz w:val="32"/>
          <w:szCs w:val="32"/>
          <w:lang w:val="en-US" w:eastAsia="zh-CN"/>
        </w:rPr>
        <w:t>发展需要</w:t>
      </w:r>
      <w:r>
        <w:rPr>
          <w:rFonts w:hint="eastAsia" w:ascii="宋体" w:hAnsi="宋体" w:eastAsia="方正仿宋简体" w:cs="方正仿宋简体"/>
          <w:sz w:val="32"/>
          <w:szCs w:val="32"/>
          <w:lang w:val="en-US" w:eastAsia="zh-CN"/>
        </w:rPr>
        <w:t>。</w:t>
      </w:r>
    </w:p>
    <w:p>
      <w:pPr>
        <w:rPr>
          <w:rFonts w:hint="default" w:ascii="宋体" w:hAnsi="宋体" w:eastAsia="方正仿宋简体" w:cs="方正仿宋简体"/>
          <w:sz w:val="32"/>
          <w:szCs w:val="32"/>
          <w:lang w:val="en-US" w:eastAsia="zh-CN"/>
        </w:rPr>
      </w:pPr>
      <w:r>
        <w:rPr>
          <w:rFonts w:hint="default" w:ascii="宋体" w:hAnsi="宋体" w:eastAsia="方正仿宋简体" w:cs="方正仿宋简体"/>
          <w:sz w:val="32"/>
          <w:szCs w:val="32"/>
          <w:lang w:val="en-US" w:eastAsia="zh-CN"/>
        </w:rPr>
        <w:t>加油站网点建设</w:t>
      </w:r>
      <w:r>
        <w:rPr>
          <w:rFonts w:hint="eastAsia" w:ascii="宋体" w:hAnsi="宋体" w:eastAsia="方正仿宋简体" w:cs="方正仿宋简体"/>
          <w:sz w:val="32"/>
          <w:szCs w:val="32"/>
          <w:lang w:val="en-US" w:eastAsia="zh-CN"/>
        </w:rPr>
        <w:t>应根据师市发展，在新建团（镇）、园区、交通基础设施发展较快等重点位置规划布局，避免集中扎堆带来安全风险提升。对加油站网点开发建设工作，应分期建设、科学控制加油站总量，避免重复建设和资源浪费。</w:t>
      </w:r>
    </w:p>
    <w:p>
      <w:pPr>
        <w:rPr>
          <w:rFonts w:hint="eastAsia" w:ascii="宋体" w:hAnsi="宋体" w:eastAsia="楷体_GB2312" w:cs="楷体_GB2312"/>
          <w:sz w:val="32"/>
          <w:szCs w:val="32"/>
          <w:lang w:val="en-US" w:eastAsia="zh-CN"/>
        </w:rPr>
      </w:pPr>
      <w:r>
        <w:rPr>
          <w:rFonts w:hint="eastAsia" w:ascii="宋体" w:hAnsi="宋体" w:eastAsia="楷体_GB2312" w:cs="楷体_GB2312"/>
          <w:sz w:val="32"/>
          <w:szCs w:val="32"/>
          <w:lang w:val="en-US" w:eastAsia="zh-CN"/>
        </w:rPr>
        <w:t>四、土地投资成本增加制约加油站布点规划实施</w:t>
      </w:r>
    </w:p>
    <w:p>
      <w:pPr>
        <w:rPr>
          <w:rFonts w:hint="default" w:ascii="宋体" w:hAnsi="宋体" w:eastAsia="方正仿宋简体" w:cs="方正仿宋简体"/>
          <w:sz w:val="32"/>
          <w:szCs w:val="32"/>
          <w:lang w:val="en-US" w:eastAsia="zh-CN"/>
        </w:rPr>
      </w:pPr>
      <w:r>
        <w:rPr>
          <w:rFonts w:hint="default" w:ascii="宋体" w:hAnsi="宋体" w:eastAsia="方正仿宋简体" w:cs="方正仿宋简体"/>
          <w:sz w:val="32"/>
          <w:szCs w:val="32"/>
          <w:lang w:val="en-US" w:eastAsia="zh-CN"/>
        </w:rPr>
        <w:t>随着成品油销售行业竞争的日益加剧，师市加油站经营毛利空间逐步被压缩，土地、人工、</w:t>
      </w:r>
      <w:r>
        <w:rPr>
          <w:rFonts w:hint="eastAsia" w:ascii="宋体" w:hAnsi="宋体" w:eastAsia="方正仿宋简体" w:cs="方正仿宋简体"/>
          <w:sz w:val="32"/>
          <w:szCs w:val="32"/>
          <w:lang w:val="en-US" w:eastAsia="zh-CN"/>
        </w:rPr>
        <w:t>建设、</w:t>
      </w:r>
      <w:r>
        <w:rPr>
          <w:rFonts w:hint="default" w:ascii="宋体" w:hAnsi="宋体" w:eastAsia="方正仿宋简体" w:cs="方正仿宋简体"/>
          <w:sz w:val="32"/>
          <w:szCs w:val="32"/>
          <w:lang w:val="en-US" w:eastAsia="zh-CN"/>
        </w:rPr>
        <w:t>材料</w:t>
      </w:r>
      <w:r>
        <w:rPr>
          <w:rFonts w:hint="eastAsia" w:ascii="宋体" w:hAnsi="宋体" w:eastAsia="方正仿宋简体" w:cs="方正仿宋简体"/>
          <w:sz w:val="32"/>
          <w:szCs w:val="32"/>
          <w:lang w:val="en-US" w:eastAsia="zh-CN"/>
        </w:rPr>
        <w:t>等</w:t>
      </w:r>
      <w:r>
        <w:rPr>
          <w:rFonts w:hint="default" w:ascii="宋体" w:hAnsi="宋体" w:eastAsia="方正仿宋简体" w:cs="方正仿宋简体"/>
          <w:sz w:val="32"/>
          <w:szCs w:val="32"/>
          <w:lang w:val="en-US" w:eastAsia="zh-CN"/>
        </w:rPr>
        <w:t>成本逐年攀升</w:t>
      </w:r>
      <w:r>
        <w:rPr>
          <w:rFonts w:hint="eastAsia" w:ascii="宋体" w:hAnsi="宋体" w:eastAsia="方正仿宋简体" w:cs="方正仿宋简体"/>
          <w:sz w:val="32"/>
          <w:szCs w:val="32"/>
          <w:lang w:val="en-US" w:eastAsia="zh-CN"/>
        </w:rPr>
        <w:t>，导致</w:t>
      </w:r>
      <w:r>
        <w:rPr>
          <w:rFonts w:hint="default" w:ascii="宋体" w:hAnsi="宋体" w:eastAsia="方正仿宋简体" w:cs="方正仿宋简体"/>
          <w:sz w:val="32"/>
          <w:szCs w:val="32"/>
          <w:lang w:val="en-US" w:eastAsia="zh-CN"/>
        </w:rPr>
        <w:t>现有的规划布点难以落实</w:t>
      </w:r>
      <w:r>
        <w:rPr>
          <w:rFonts w:hint="eastAsia" w:ascii="宋体" w:hAnsi="宋体" w:eastAsia="方正仿宋简体" w:cs="方正仿宋简体"/>
          <w:sz w:val="32"/>
          <w:szCs w:val="32"/>
          <w:lang w:val="en-US" w:eastAsia="zh-CN"/>
        </w:rPr>
        <w:t>。</w:t>
      </w:r>
    </w:p>
    <w:p>
      <w:pPr>
        <w:pStyle w:val="4"/>
        <w:numPr>
          <w:ilvl w:val="1"/>
          <w:numId w:val="0"/>
        </w:numPr>
        <w:bidi w:val="0"/>
        <w:ind w:leftChars="0"/>
        <w:jc w:val="center"/>
        <w:rPr>
          <w:rFonts w:hint="default" w:ascii="宋体" w:hAnsi="宋体" w:cs="Times New Roman"/>
          <w:b w:val="0"/>
          <w:bCs w:val="0"/>
          <w:color w:val="auto"/>
          <w:highlight w:val="none"/>
          <w:lang w:val="en-US" w:eastAsia="zh-CN"/>
        </w:rPr>
      </w:pPr>
      <w:bookmarkStart w:id="4" w:name="_Toc27690"/>
      <w:r>
        <w:rPr>
          <w:rFonts w:hint="eastAsia" w:ascii="宋体" w:hAnsi="宋体" w:cs="Times New Roman"/>
          <w:b w:val="0"/>
          <w:bCs w:val="0"/>
          <w:color w:val="auto"/>
          <w:highlight w:val="none"/>
          <w:lang w:val="en-US" w:eastAsia="zh-CN"/>
        </w:rPr>
        <w:t xml:space="preserve">第三节 </w:t>
      </w:r>
      <w:r>
        <w:rPr>
          <w:rFonts w:hint="default" w:ascii="宋体" w:hAnsi="宋体" w:cs="Times New Roman"/>
          <w:b w:val="0"/>
          <w:bCs w:val="0"/>
          <w:color w:val="auto"/>
          <w:highlight w:val="none"/>
          <w:lang w:val="en-US" w:eastAsia="zh-CN"/>
        </w:rPr>
        <w:t>面临形势</w:t>
      </w:r>
      <w:bookmarkEnd w:id="4"/>
    </w:p>
    <w:p>
      <w:pPr>
        <w:pStyle w:val="5"/>
        <w:pageBreakBefore w:val="0"/>
        <w:widowControl w:val="0"/>
        <w:kinsoku/>
        <w:wordWrap/>
        <w:overflowPunct/>
        <w:topLinePunct w:val="0"/>
        <w:autoSpaceDE/>
        <w:autoSpaceDN/>
        <w:bidi w:val="0"/>
        <w:adjustRightInd/>
        <w:snapToGrid/>
        <w:spacing w:line="560" w:lineRule="exact"/>
        <w:textAlignment w:val="auto"/>
        <w:rPr>
          <w:rFonts w:hint="default" w:ascii="宋体" w:hAnsi="宋体" w:cs="Times New Roman"/>
          <w:b w:val="0"/>
          <w:bCs/>
        </w:rPr>
      </w:pPr>
      <w:r>
        <w:rPr>
          <w:rFonts w:hint="default" w:ascii="宋体" w:hAnsi="宋体" w:cs="Times New Roman"/>
          <w:b w:val="0"/>
          <w:bCs/>
          <w:lang w:val="en-US" w:eastAsia="zh-CN"/>
        </w:rPr>
        <w:t>一、</w:t>
      </w:r>
      <w:r>
        <w:rPr>
          <w:rFonts w:hint="default" w:ascii="宋体" w:hAnsi="宋体" w:cs="Times New Roman"/>
          <w:b w:val="0"/>
          <w:bCs/>
        </w:rPr>
        <w:t>传统能源消费总量仍将持续增长</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b w:val="0"/>
          <w:bCs/>
          <w:color w:val="000000" w:themeColor="text1"/>
          <w:sz w:val="32"/>
          <w:szCs w:val="32"/>
          <w:lang w:val="en-US" w:eastAsia="zh-CN"/>
          <w14:textFill>
            <w14:solidFill>
              <w14:schemeClr w14:val="tx1"/>
            </w14:solidFill>
          </w14:textFill>
        </w:rPr>
      </w:pPr>
      <w:r>
        <w:rPr>
          <w:rFonts w:hint="eastAsia" w:ascii="宋体" w:hAnsi="宋体" w:eastAsia="方正仿宋简体" w:cs="方正仿宋简体"/>
          <w:b w:val="0"/>
          <w:bCs/>
          <w:color w:val="000000" w:themeColor="text1"/>
          <w:sz w:val="32"/>
          <w:szCs w:val="32"/>
          <w14:textFill>
            <w14:solidFill>
              <w14:schemeClr w14:val="tx1"/>
            </w14:solidFill>
          </w14:textFill>
        </w:rPr>
        <w:t>一是</w:t>
      </w:r>
      <w:r>
        <w:rPr>
          <w:rFonts w:hint="eastAsia" w:ascii="宋体" w:hAnsi="宋体" w:eastAsia="方正仿宋简体" w:cs="方正仿宋简体"/>
          <w:b w:val="0"/>
          <w:bCs/>
          <w:color w:val="000000" w:themeColor="text1"/>
          <w:sz w:val="32"/>
          <w:szCs w:val="32"/>
          <w:lang w:eastAsia="zh-CN"/>
          <w14:textFill>
            <w14:solidFill>
              <w14:schemeClr w14:val="tx1"/>
            </w14:solidFill>
          </w14:textFill>
        </w:rPr>
        <w:t>燃油机动车</w:t>
      </w:r>
      <w:r>
        <w:rPr>
          <w:rFonts w:hint="eastAsia" w:ascii="宋体" w:hAnsi="宋体" w:eastAsia="方正仿宋简体" w:cs="方正仿宋简体"/>
          <w:b w:val="0"/>
          <w:bCs/>
          <w:color w:val="000000" w:themeColor="text1"/>
          <w:sz w:val="32"/>
          <w:szCs w:val="32"/>
          <w14:textFill>
            <w14:solidFill>
              <w14:schemeClr w14:val="tx1"/>
            </w14:solidFill>
          </w14:textFill>
        </w:rPr>
        <w:t>市场仍有较大增长潜力，汽车保有量将会持续上升。二是随着兵团工业化、城镇化进程的加快，人们生活水平的提高，汽车拥有量将继续增长</w:t>
      </w:r>
      <w:r>
        <w:rPr>
          <w:rFonts w:hint="eastAsia" w:ascii="宋体" w:hAnsi="宋体" w:eastAsia="方正仿宋简体" w:cs="方正仿宋简体"/>
          <w:b w:val="0"/>
          <w:bCs/>
          <w:color w:val="000000" w:themeColor="text1"/>
          <w:sz w:val="32"/>
          <w:szCs w:val="32"/>
          <w:lang w:eastAsia="zh-CN"/>
          <w14:textFill>
            <w14:solidFill>
              <w14:schemeClr w14:val="tx1"/>
            </w14:solidFill>
          </w14:textFill>
        </w:rPr>
        <w:t>。“</w:t>
      </w:r>
      <w:r>
        <w:rPr>
          <w:rFonts w:hint="eastAsia" w:ascii="宋体" w:hAnsi="宋体" w:eastAsia="方正仿宋简体" w:cs="方正仿宋简体"/>
          <w:b w:val="0"/>
          <w:bCs/>
          <w:color w:val="000000" w:themeColor="text1"/>
          <w:sz w:val="32"/>
          <w:szCs w:val="32"/>
          <w:lang w:val="en-US" w:eastAsia="zh-CN"/>
          <w14:textFill>
            <w14:solidFill>
              <w14:schemeClr w14:val="tx1"/>
            </w14:solidFill>
          </w14:textFill>
        </w:rPr>
        <w:t>十三五</w:t>
      </w:r>
      <w:r>
        <w:rPr>
          <w:rFonts w:hint="eastAsia" w:ascii="宋体" w:hAnsi="宋体" w:eastAsia="方正仿宋简体" w:cs="方正仿宋简体"/>
          <w:b w:val="0"/>
          <w:bCs/>
          <w:color w:val="000000" w:themeColor="text1"/>
          <w:sz w:val="32"/>
          <w:szCs w:val="32"/>
          <w:lang w:eastAsia="zh-CN"/>
          <w14:textFill>
            <w14:solidFill>
              <w14:schemeClr w14:val="tx1"/>
            </w14:solidFill>
          </w14:textFill>
        </w:rPr>
        <w:t>”</w:t>
      </w:r>
      <w:r>
        <w:rPr>
          <w:rFonts w:hint="eastAsia" w:ascii="宋体" w:hAnsi="宋体" w:eastAsia="方正仿宋简体" w:cs="方正仿宋简体"/>
          <w:b w:val="0"/>
          <w:bCs/>
          <w:color w:val="000000" w:themeColor="text1"/>
          <w:sz w:val="32"/>
          <w:szCs w:val="32"/>
          <w:lang w:val="en-US" w:eastAsia="zh-CN"/>
          <w14:textFill>
            <w14:solidFill>
              <w14:schemeClr w14:val="tx1"/>
            </w14:solidFill>
          </w14:textFill>
        </w:rPr>
        <w:t>期间师市汽车保有量年增长率达到11.09%，预计“十四五”时期仍会大幅增长，</w:t>
      </w:r>
      <w:r>
        <w:rPr>
          <w:rFonts w:hint="eastAsia" w:ascii="宋体" w:hAnsi="宋体" w:eastAsia="方正仿宋简体" w:cs="方正仿宋简体"/>
          <w:b w:val="0"/>
          <w:bCs/>
          <w:color w:val="000000" w:themeColor="text1"/>
          <w:sz w:val="32"/>
          <w:szCs w:val="32"/>
          <w14:textFill>
            <w14:solidFill>
              <w14:schemeClr w14:val="tx1"/>
            </w14:solidFill>
          </w14:textFill>
        </w:rPr>
        <w:t>必将带动成品油需求</w:t>
      </w:r>
      <w:r>
        <w:rPr>
          <w:rFonts w:hint="eastAsia" w:ascii="宋体" w:hAnsi="宋体" w:eastAsia="方正仿宋简体" w:cs="方正仿宋简体"/>
          <w:b w:val="0"/>
          <w:bCs/>
          <w:color w:val="000000" w:themeColor="text1"/>
          <w:sz w:val="32"/>
          <w:szCs w:val="32"/>
          <w:lang w:val="en-US" w:eastAsia="zh-CN"/>
          <w14:textFill>
            <w14:solidFill>
              <w14:schemeClr w14:val="tx1"/>
            </w14:solidFill>
          </w14:textFill>
        </w:rPr>
        <w:t>量的</w:t>
      </w:r>
      <w:r>
        <w:rPr>
          <w:rFonts w:hint="eastAsia" w:ascii="宋体" w:hAnsi="宋体" w:eastAsia="方正仿宋简体" w:cs="方正仿宋简体"/>
          <w:b w:val="0"/>
          <w:bCs/>
          <w:color w:val="000000" w:themeColor="text1"/>
          <w:sz w:val="32"/>
          <w:szCs w:val="32"/>
          <w14:textFill>
            <w14:solidFill>
              <w14:schemeClr w14:val="tx1"/>
            </w14:solidFill>
          </w14:textFill>
        </w:rPr>
        <w:t>持续</w:t>
      </w:r>
      <w:r>
        <w:rPr>
          <w:rFonts w:hint="eastAsia" w:ascii="宋体" w:hAnsi="宋体" w:eastAsia="方正仿宋简体" w:cs="方正仿宋简体"/>
          <w:b w:val="0"/>
          <w:bCs/>
          <w:color w:val="000000" w:themeColor="text1"/>
          <w:sz w:val="32"/>
          <w:szCs w:val="32"/>
          <w:lang w:val="en-US" w:eastAsia="zh-CN"/>
          <w14:textFill>
            <w14:solidFill>
              <w14:schemeClr w14:val="tx1"/>
            </w14:solidFill>
          </w14:textFill>
        </w:rPr>
        <w:t>上升</w:t>
      </w:r>
      <w:r>
        <w:rPr>
          <w:rFonts w:hint="eastAsia" w:ascii="宋体" w:hAnsi="宋体" w:eastAsia="方正仿宋简体" w:cs="方正仿宋简体"/>
          <w:b w:val="0"/>
          <w:bCs/>
          <w:color w:val="000000" w:themeColor="text1"/>
          <w:sz w:val="32"/>
          <w:szCs w:val="32"/>
          <w14:textFill>
            <w14:solidFill>
              <w14:schemeClr w14:val="tx1"/>
            </w14:solidFill>
          </w14:textFill>
        </w:rPr>
        <w:t>。三是</w:t>
      </w:r>
      <w:r>
        <w:rPr>
          <w:rFonts w:hint="eastAsia" w:ascii="宋体" w:hAnsi="宋体" w:eastAsia="方正仿宋简体" w:cs="方正仿宋简体"/>
          <w:bCs/>
          <w:color w:val="000000" w:themeColor="text1"/>
          <w:sz w:val="32"/>
          <w:szCs w:val="32"/>
          <w14:textFill>
            <w14:solidFill>
              <w14:schemeClr w14:val="tx1"/>
            </w14:solidFill>
          </w14:textFill>
        </w:rPr>
        <w:t>铁门关市作为</w:t>
      </w:r>
      <w:r>
        <w:rPr>
          <w:rFonts w:hint="eastAsia" w:ascii="宋体" w:hAnsi="宋体" w:eastAsia="方正仿宋简体" w:cs="方正仿宋简体"/>
          <w:bCs/>
          <w:color w:val="000000" w:themeColor="text1"/>
          <w:sz w:val="32"/>
          <w:szCs w:val="32"/>
          <w:lang w:eastAsia="zh-CN"/>
          <w14:textFill>
            <w14:solidFill>
              <w14:schemeClr w14:val="tx1"/>
            </w14:solidFill>
          </w14:textFill>
        </w:rPr>
        <w:t>师市行政中心</w:t>
      </w:r>
      <w:r>
        <w:rPr>
          <w:rFonts w:hint="eastAsia" w:ascii="宋体" w:hAnsi="宋体" w:eastAsia="方正仿宋简体" w:cs="方正仿宋简体"/>
          <w:bCs/>
          <w:color w:val="000000" w:themeColor="text1"/>
          <w:sz w:val="32"/>
          <w:szCs w:val="32"/>
          <w14:textFill>
            <w14:solidFill>
              <w14:schemeClr w14:val="tx1"/>
            </w14:solidFill>
          </w14:textFill>
        </w:rPr>
        <w:t>，</w:t>
      </w:r>
      <w:r>
        <w:rPr>
          <w:rFonts w:hint="eastAsia" w:ascii="宋体" w:hAnsi="宋体" w:eastAsia="方正仿宋简体" w:cs="方正仿宋简体"/>
          <w:bCs/>
          <w:color w:val="000000" w:themeColor="text1"/>
          <w:sz w:val="32"/>
          <w:szCs w:val="32"/>
          <w:lang w:eastAsia="zh-CN"/>
          <w14:textFill>
            <w14:solidFill>
              <w14:schemeClr w14:val="tx1"/>
            </w14:solidFill>
          </w14:textFill>
        </w:rPr>
        <w:t>是兵团第</w:t>
      </w:r>
      <w:r>
        <w:rPr>
          <w:rFonts w:hint="eastAsia" w:ascii="宋体" w:hAnsi="宋体" w:eastAsia="方正仿宋简体" w:cs="方正仿宋简体"/>
          <w:bCs/>
          <w:color w:val="000000" w:themeColor="text1"/>
          <w:sz w:val="32"/>
          <w:szCs w:val="32"/>
          <w14:textFill>
            <w14:solidFill>
              <w14:schemeClr w14:val="tx1"/>
            </w14:solidFill>
          </w14:textFill>
        </w:rPr>
        <w:t>二师全域的核心所在地，</w:t>
      </w:r>
      <w:r>
        <w:rPr>
          <w:rFonts w:hint="eastAsia" w:ascii="宋体" w:hAnsi="宋体" w:eastAsia="方正仿宋简体" w:cs="方正仿宋简体"/>
          <w:bCs/>
          <w:color w:val="000000" w:themeColor="text1"/>
          <w:sz w:val="32"/>
          <w:szCs w:val="32"/>
          <w:lang w:eastAsia="zh-CN"/>
          <w14:textFill>
            <w14:solidFill>
              <w14:schemeClr w14:val="tx1"/>
            </w14:solidFill>
          </w14:textFill>
        </w:rPr>
        <w:t>重点</w:t>
      </w:r>
      <w:r>
        <w:rPr>
          <w:rFonts w:hint="eastAsia" w:ascii="宋体" w:hAnsi="宋体" w:eastAsia="方正仿宋简体" w:cs="方正仿宋简体"/>
          <w:bCs/>
          <w:color w:val="000000" w:themeColor="text1"/>
          <w:sz w:val="32"/>
          <w:szCs w:val="32"/>
          <w14:textFill>
            <w14:solidFill>
              <w14:schemeClr w14:val="tx1"/>
            </w14:solidFill>
          </w14:textFill>
        </w:rPr>
        <w:t>承担旅游集散和服务中心等职能</w:t>
      </w:r>
      <w:r>
        <w:rPr>
          <w:rFonts w:hint="eastAsia" w:ascii="宋体" w:hAnsi="宋体" w:eastAsia="方正仿宋简体" w:cs="方正仿宋简体"/>
          <w:bCs/>
          <w:color w:val="000000" w:themeColor="text1"/>
          <w:sz w:val="32"/>
          <w:szCs w:val="32"/>
          <w:lang w:eastAsia="zh-CN"/>
          <w14:textFill>
            <w14:solidFill>
              <w14:schemeClr w14:val="tx1"/>
            </w14:solidFill>
          </w14:textFill>
        </w:rPr>
        <w:t>，</w:t>
      </w:r>
      <w:r>
        <w:rPr>
          <w:rFonts w:hint="eastAsia" w:ascii="宋体" w:hAnsi="宋体" w:eastAsia="方正仿宋简体" w:cs="方正仿宋简体"/>
          <w:b w:val="0"/>
          <w:bCs/>
          <w:color w:val="000000" w:themeColor="text1"/>
          <w:sz w:val="32"/>
          <w:szCs w:val="32"/>
          <w14:textFill>
            <w14:solidFill>
              <w14:schemeClr w14:val="tx1"/>
            </w14:solidFill>
          </w14:textFill>
        </w:rPr>
        <w:t>随着</w:t>
      </w:r>
      <w:r>
        <w:rPr>
          <w:rFonts w:hint="eastAsia" w:ascii="宋体" w:hAnsi="宋体" w:eastAsia="方正仿宋简体" w:cs="方正仿宋简体"/>
          <w:b w:val="0"/>
          <w:bCs/>
          <w:color w:val="000000" w:themeColor="text1"/>
          <w:sz w:val="32"/>
          <w:szCs w:val="32"/>
          <w:lang w:eastAsia="zh-CN"/>
          <w14:textFill>
            <w14:solidFill>
              <w14:schemeClr w14:val="tx1"/>
            </w14:solidFill>
          </w14:textFill>
        </w:rPr>
        <w:t>各团（镇）</w:t>
      </w:r>
      <w:r>
        <w:rPr>
          <w:rFonts w:hint="eastAsia" w:ascii="宋体" w:hAnsi="宋体" w:eastAsia="方正仿宋简体" w:cs="方正仿宋简体"/>
          <w:b w:val="0"/>
          <w:bCs/>
          <w:color w:val="000000" w:themeColor="text1"/>
          <w:sz w:val="32"/>
          <w:szCs w:val="32"/>
          <w14:textFill>
            <w14:solidFill>
              <w14:schemeClr w14:val="tx1"/>
            </w14:solidFill>
          </w14:textFill>
        </w:rPr>
        <w:t>国民经济的增长及</w:t>
      </w:r>
      <w:r>
        <w:rPr>
          <w:rFonts w:hint="eastAsia" w:ascii="宋体" w:hAnsi="宋体" w:eastAsia="方正仿宋简体" w:cs="方正仿宋简体"/>
          <w:b w:val="0"/>
          <w:bCs/>
          <w:color w:val="000000" w:themeColor="text1"/>
          <w:sz w:val="32"/>
          <w:szCs w:val="32"/>
          <w:lang w:val="en-US" w:eastAsia="zh-CN"/>
          <w14:textFill>
            <w14:solidFill>
              <w14:schemeClr w14:val="tx1"/>
            </w14:solidFill>
          </w14:textFill>
        </w:rPr>
        <w:t>旅游事业的发展</w:t>
      </w:r>
      <w:r>
        <w:rPr>
          <w:rFonts w:hint="eastAsia" w:ascii="宋体" w:hAnsi="宋体" w:eastAsia="方正仿宋简体" w:cs="方正仿宋简体"/>
          <w:b w:val="0"/>
          <w:bCs/>
          <w:color w:val="000000" w:themeColor="text1"/>
          <w:sz w:val="32"/>
          <w:szCs w:val="32"/>
          <w14:textFill>
            <w14:solidFill>
              <w14:schemeClr w14:val="tx1"/>
            </w14:solidFill>
          </w14:textFill>
        </w:rPr>
        <w:t>，每年旅游过往车辆必然增加。</w:t>
      </w:r>
      <w:r>
        <w:rPr>
          <w:rFonts w:hint="eastAsia" w:ascii="宋体" w:hAnsi="宋体" w:eastAsia="方正仿宋简体" w:cs="方正仿宋简体"/>
          <w:b w:val="0"/>
          <w:bCs/>
          <w:color w:val="000000" w:themeColor="text1"/>
          <w:sz w:val="32"/>
          <w:szCs w:val="32"/>
          <w:lang w:val="en-US" w:eastAsia="zh-CN"/>
          <w14:textFill>
            <w14:solidFill>
              <w14:schemeClr w14:val="tx1"/>
            </w14:solidFill>
          </w14:textFill>
        </w:rPr>
        <w:t>因此，传统能源消费总量在未来很长一段时间内仍将持续增长。</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楷体_GB2312" w:cs="楷体_GB2312"/>
          <w:sz w:val="32"/>
          <w:szCs w:val="32"/>
          <w:lang w:val="en-US" w:eastAsia="zh-CN"/>
        </w:rPr>
      </w:pPr>
      <w:r>
        <w:rPr>
          <w:rFonts w:hint="eastAsia" w:ascii="宋体" w:hAnsi="宋体" w:eastAsia="楷体_GB2312" w:cs="楷体_GB2312"/>
          <w:b w:val="0"/>
          <w:bCs/>
          <w:color w:val="000000" w:themeColor="text1"/>
          <w:sz w:val="32"/>
          <w:szCs w:val="32"/>
          <w:lang w:val="en-US" w:eastAsia="zh-CN"/>
          <w14:textFill>
            <w14:solidFill>
              <w14:schemeClr w14:val="tx1"/>
            </w14:solidFill>
          </w14:textFill>
        </w:rPr>
        <w:t>二、</w:t>
      </w:r>
      <w:r>
        <w:rPr>
          <w:rFonts w:hint="eastAsia" w:ascii="宋体" w:hAnsi="宋体" w:eastAsia="楷体_GB2312" w:cs="楷体_GB2312"/>
          <w:sz w:val="32"/>
          <w:szCs w:val="32"/>
          <w:lang w:val="en-US" w:eastAsia="zh-CN"/>
        </w:rPr>
        <w:t>成品油市场竞争格局发生变化</w:t>
      </w:r>
    </w:p>
    <w:p>
      <w:pPr>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近些年，国际原油市场波动频繁，原油价格大幅下降，进而让我国石油成品油的总体市场供应以及实际销售量也产生了很大的变化。随着国内成品油市场化趋势的不断加深，石油市场也在逐渐开放，市场参与者的逐渐增</w:t>
      </w:r>
      <w:r>
        <w:rPr>
          <w:rFonts w:hint="eastAsia" w:ascii="宋体" w:hAnsi="宋体" w:eastAsia="方正仿宋简体" w:cs="方正仿宋简体"/>
          <w:color w:val="auto"/>
          <w:sz w:val="32"/>
          <w:szCs w:val="32"/>
          <w:lang w:val="en-US" w:eastAsia="zh-CN"/>
        </w:rPr>
        <w:t>多，民间私有成品油企业也在迅速崛起，并占据了很大的市场份额，</w:t>
      </w:r>
      <w:r>
        <w:rPr>
          <w:rFonts w:hint="eastAsia" w:ascii="宋体" w:hAnsi="宋体" w:eastAsia="方正仿宋简体" w:cs="方正仿宋简体"/>
          <w:sz w:val="32"/>
          <w:szCs w:val="32"/>
          <w:lang w:val="en-US" w:eastAsia="zh-CN"/>
        </w:rPr>
        <w:t>让整个成品油零售市场的竞争强度加剧，企业自身所面临的机遇与挑战同步扩大，且成品油同质化竞争已经让成品油利润趋薄；加上国内产品质量执行同一标准，逐渐缩小了加油站成品油品质差异，诸多因素加剧了成品油终端市场的激烈竞争。成品油市场竞争逐步由资源竞争转向价格、品牌、管理、服务的综合竞争，具有价格优势、网络优势、资源优势、服务优势、品牌优势和管理优势的成品油企业具有一定竞争优势。</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楷体_GB2312" w:cs="楷体_GB2312"/>
          <w:b w:val="0"/>
          <w:bCs/>
          <w:color w:val="000000" w:themeColor="text1"/>
          <w:sz w:val="32"/>
          <w:szCs w:val="32"/>
          <w:lang w:val="en-US" w:eastAsia="zh-CN"/>
          <w14:textFill>
            <w14:solidFill>
              <w14:schemeClr w14:val="tx1"/>
            </w14:solidFill>
          </w14:textFill>
        </w:rPr>
      </w:pPr>
      <w:r>
        <w:rPr>
          <w:rFonts w:hint="eastAsia" w:ascii="宋体" w:hAnsi="宋体" w:eastAsia="楷体_GB2312" w:cs="楷体_GB2312"/>
          <w:b w:val="0"/>
          <w:bCs/>
          <w:color w:val="000000" w:themeColor="text1"/>
          <w:sz w:val="32"/>
          <w:szCs w:val="32"/>
          <w:lang w:val="en-US" w:eastAsia="zh-CN"/>
          <w14:textFill>
            <w14:solidFill>
              <w14:schemeClr w14:val="tx1"/>
            </w14:solidFill>
          </w14:textFill>
        </w:rPr>
        <w:t>三、新能源对传统能源消费的替代比例将明显上升</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成品油消费与经济增长关联紧密，随着我国经济步入新常态，经济增长从高速转为中高速，新能源对成品油的影响也在逐步加大，预计未来车用成品油需求增长也随之放缓。</w:t>
      </w:r>
    </w:p>
    <w:p>
      <w:pPr>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近年来清洁替代能源发展较快，CNG、LNG、甲醇汽油、生物柴油及充电汽车等产品不断发展、优势逐步突显，在能源市场所占份额也不断增大。随着国内环境保护力度不断加强，国家鼓励发展清洁能源，新能源将进一步挤占传统汽柴油市场份额。经过十多年的发展，我国新能源汽车已逐步从技术科研阶段，驶入平常百姓的生活。2020年10月9日，国务院常务会议通过《新能源汽车产业发展规划》，提出到2025年新能源汽车新车销量占比要达到25％左右，到2035年国内公共领域用车全面实现电动化。</w:t>
      </w:r>
    </w:p>
    <w:p>
      <w:pPr>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rPr>
        <w:t>综上所述，我国汽车能源消耗依然以传统能源消耗为主，电能、新能源为辅</w:t>
      </w:r>
      <w:r>
        <w:rPr>
          <w:rFonts w:hint="eastAsia" w:ascii="宋体" w:hAnsi="宋体" w:eastAsia="方正仿宋简体" w:cs="方正仿宋简体"/>
          <w:sz w:val="32"/>
          <w:szCs w:val="32"/>
          <w:lang w:eastAsia="zh-CN"/>
        </w:rPr>
        <w:t>，</w:t>
      </w:r>
      <w:r>
        <w:rPr>
          <w:rFonts w:hint="eastAsia" w:ascii="宋体" w:hAnsi="宋体" w:eastAsia="方正仿宋简体" w:cs="方正仿宋简体"/>
          <w:sz w:val="32"/>
          <w:szCs w:val="32"/>
          <w:lang w:val="en-US" w:eastAsia="zh-CN"/>
        </w:rPr>
        <w:t>但新能源</w:t>
      </w:r>
      <w:r>
        <w:rPr>
          <w:rFonts w:hint="eastAsia" w:ascii="宋体" w:hAnsi="宋体" w:eastAsia="方正仿宋简体" w:cs="方正仿宋简体"/>
          <w:sz w:val="32"/>
          <w:szCs w:val="32"/>
        </w:rPr>
        <w:t>对</w:t>
      </w:r>
      <w:r>
        <w:rPr>
          <w:rFonts w:hint="eastAsia" w:ascii="宋体" w:hAnsi="宋体" w:eastAsia="方正仿宋简体" w:cs="方正仿宋简体"/>
          <w:sz w:val="32"/>
          <w:szCs w:val="32"/>
          <w:lang w:val="en-US" w:eastAsia="zh-CN"/>
        </w:rPr>
        <w:t>传统能源</w:t>
      </w:r>
      <w:r>
        <w:rPr>
          <w:rFonts w:hint="eastAsia" w:ascii="宋体" w:hAnsi="宋体" w:eastAsia="方正仿宋简体" w:cs="方正仿宋简体"/>
          <w:sz w:val="32"/>
          <w:szCs w:val="32"/>
        </w:rPr>
        <w:t>消费的替代比例将</w:t>
      </w:r>
      <w:r>
        <w:rPr>
          <w:rFonts w:hint="eastAsia" w:ascii="宋体" w:hAnsi="宋体" w:eastAsia="方正仿宋简体" w:cs="方正仿宋简体"/>
          <w:sz w:val="32"/>
          <w:szCs w:val="32"/>
          <w:lang w:val="en-US" w:eastAsia="zh-CN"/>
        </w:rPr>
        <w:t>逐步</w:t>
      </w:r>
      <w:r>
        <w:rPr>
          <w:rFonts w:hint="eastAsia" w:ascii="宋体" w:hAnsi="宋体" w:eastAsia="方正仿宋简体" w:cs="方正仿宋简体"/>
          <w:sz w:val="32"/>
          <w:szCs w:val="32"/>
        </w:rPr>
        <w:t>上升。</w:t>
      </w:r>
      <w:r>
        <w:rPr>
          <w:rFonts w:hint="eastAsia" w:ascii="宋体" w:hAnsi="宋体" w:eastAsia="方正仿宋简体" w:cs="方正仿宋简体"/>
          <w:sz w:val="32"/>
          <w:szCs w:val="32"/>
          <w:lang w:val="en-US" w:eastAsia="zh-CN"/>
        </w:rPr>
        <w:t>未来</w:t>
      </w:r>
      <w:r>
        <w:rPr>
          <w:rFonts w:hint="eastAsia" w:ascii="宋体" w:hAnsi="宋体" w:eastAsia="方正仿宋简体" w:cs="方正仿宋简体"/>
          <w:sz w:val="32"/>
          <w:szCs w:val="32"/>
          <w:lang w:eastAsia="zh-CN"/>
        </w:rPr>
        <w:t>师市</w:t>
      </w:r>
      <w:r>
        <w:rPr>
          <w:rFonts w:hint="eastAsia" w:ascii="宋体" w:hAnsi="宋体" w:eastAsia="方正仿宋简体" w:cs="方正仿宋简体"/>
          <w:sz w:val="32"/>
          <w:szCs w:val="32"/>
        </w:rPr>
        <w:t>加油站将以此前景为目标，力争打造全方位、</w:t>
      </w:r>
      <w:r>
        <w:rPr>
          <w:rFonts w:hint="eastAsia" w:ascii="宋体" w:hAnsi="宋体" w:eastAsia="方正仿宋简体" w:cs="方正仿宋简体"/>
          <w:sz w:val="32"/>
          <w:szCs w:val="32"/>
          <w:lang w:eastAsia="zh-CN"/>
        </w:rPr>
        <w:t>多功能、</w:t>
      </w:r>
      <w:r>
        <w:rPr>
          <w:rFonts w:hint="eastAsia" w:ascii="宋体" w:hAnsi="宋体" w:eastAsia="方正仿宋简体" w:cs="方正仿宋简体"/>
          <w:sz w:val="32"/>
          <w:szCs w:val="32"/>
        </w:rPr>
        <w:t>一体化的综合性加油</w:t>
      </w:r>
      <w:r>
        <w:rPr>
          <w:rFonts w:hint="eastAsia" w:ascii="宋体" w:hAnsi="宋体" w:eastAsia="方正仿宋简体" w:cs="方正仿宋简体"/>
          <w:sz w:val="32"/>
          <w:szCs w:val="32"/>
          <w:lang w:eastAsia="zh-CN"/>
        </w:rPr>
        <w:t>加气、充（换）电</w:t>
      </w:r>
      <w:r>
        <w:rPr>
          <w:rFonts w:hint="eastAsia" w:ascii="宋体" w:hAnsi="宋体" w:eastAsia="方正仿宋简体" w:cs="方正仿宋简体"/>
          <w:sz w:val="32"/>
          <w:szCs w:val="32"/>
        </w:rPr>
        <w:t>站。</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楷体_GB2312" w:cs="楷体_GB2312"/>
          <w:b w:val="0"/>
          <w:bCs/>
          <w:color w:val="000000" w:themeColor="text1"/>
          <w:sz w:val="32"/>
          <w:szCs w:val="32"/>
          <w:lang w:val="en-US" w:eastAsia="zh-CN"/>
          <w14:textFill>
            <w14:solidFill>
              <w14:schemeClr w14:val="tx1"/>
            </w14:solidFill>
          </w14:textFill>
        </w:rPr>
      </w:pPr>
      <w:r>
        <w:rPr>
          <w:rFonts w:hint="eastAsia" w:ascii="宋体" w:hAnsi="宋体" w:eastAsia="楷体_GB2312" w:cs="楷体_GB2312"/>
          <w:b w:val="0"/>
          <w:bCs/>
          <w:color w:val="000000" w:themeColor="text1"/>
          <w:sz w:val="32"/>
          <w:szCs w:val="32"/>
          <w:lang w:val="en-US" w:eastAsia="zh-CN"/>
          <w14:textFill>
            <w14:solidFill>
              <w14:schemeClr w14:val="tx1"/>
            </w14:solidFill>
          </w14:textFill>
        </w:rPr>
        <w:t>四、社会经济持续向好发展为成品油销售提供较好发展空间</w:t>
      </w:r>
    </w:p>
    <w:p>
      <w:pPr>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十三五”期间，师市经济社会发展和民生改善取得显著成效。一方面，随着地区生产总值的稳步增加、交通网络体系的不断完善、新型城镇化建设步伐的加快、师市城区和工业园区的快速扩张以及园内基础设施项目快速推进，为“十四五”期间师市成品油市场建设提供强有力的载体支撑。另一方面，人均可支配收入增加将使社会消费品和零售总额不断增加，进一步促进商品流通，以交通运输业发展带动成品油零售量不断增加。</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楷体_GB2312" w:cs="楷体_GB2312"/>
          <w:b w:val="0"/>
          <w:bCs/>
          <w:color w:val="000000" w:themeColor="text1"/>
          <w:sz w:val="32"/>
          <w:szCs w:val="32"/>
          <w:lang w:val="en-US" w:eastAsia="zh-CN"/>
          <w14:textFill>
            <w14:solidFill>
              <w14:schemeClr w14:val="tx1"/>
            </w14:solidFill>
          </w14:textFill>
        </w:rPr>
      </w:pPr>
      <w:r>
        <w:rPr>
          <w:rFonts w:hint="eastAsia" w:ascii="宋体" w:hAnsi="宋体" w:eastAsia="楷体_GB2312" w:cs="楷体_GB2312"/>
          <w:b w:val="0"/>
          <w:bCs/>
          <w:color w:val="000000" w:themeColor="text1"/>
          <w:sz w:val="32"/>
          <w:szCs w:val="32"/>
          <w:lang w:val="en-US" w:eastAsia="zh-CN"/>
          <w14:textFill>
            <w14:solidFill>
              <w14:schemeClr w14:val="tx1"/>
            </w14:solidFill>
          </w14:textFill>
        </w:rPr>
        <w:t>五、单一品种向多元化经营转型成为趋势</w:t>
      </w:r>
    </w:p>
    <w:p>
      <w:pPr>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sz w:val="32"/>
          <w:szCs w:val="32"/>
          <w:lang w:val="en-US" w:eastAsia="zh-CN"/>
        </w:rPr>
      </w:pPr>
      <w:r>
        <w:rPr>
          <w:rFonts w:hint="eastAsia" w:ascii="宋体" w:hAnsi="宋体" w:eastAsia="方正仿宋简体" w:cs="方正仿宋简体"/>
          <w:sz w:val="32"/>
          <w:szCs w:val="32"/>
          <w:lang w:val="en-US" w:eastAsia="zh-CN"/>
        </w:rPr>
        <w:t>随着国内外新能源产业的快速发展，新能源车辆的增加，迫切需要加油站建设将由过去单一经营汽油、柴油的传统能源，向加油、加气、充电的方式以及配置便利店、餐饮、旅店、汽车维修、零配件、美容、换油、加水、配货等多元化经营与服务体系延伸。“十四五”期间，多元化经营将成为师市加油站提高竞争力和增加经营收益的重要手段。</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楷体_GB2312" w:cs="楷体_GB2312"/>
          <w:b w:val="0"/>
          <w:bCs/>
          <w:color w:val="000000" w:themeColor="text1"/>
          <w:sz w:val="32"/>
          <w:szCs w:val="32"/>
          <w:lang w:val="en-US" w:eastAsia="zh-CN"/>
          <w14:textFill>
            <w14:solidFill>
              <w14:schemeClr w14:val="tx1"/>
            </w14:solidFill>
          </w14:textFill>
        </w:rPr>
      </w:pPr>
      <w:r>
        <w:rPr>
          <w:rFonts w:hint="eastAsia" w:ascii="宋体" w:hAnsi="宋体" w:eastAsia="楷体_GB2312" w:cs="楷体_GB2312"/>
          <w:b w:val="0"/>
          <w:bCs/>
          <w:color w:val="000000" w:themeColor="text1"/>
          <w:sz w:val="32"/>
          <w:szCs w:val="32"/>
          <w:lang w:val="en-US" w:eastAsia="zh-CN"/>
          <w14:textFill>
            <w14:solidFill>
              <w14:schemeClr w14:val="tx1"/>
            </w14:solidFill>
          </w14:textFill>
        </w:rPr>
        <w:t>六、成品油零售管理环节须进一步加强</w:t>
      </w:r>
    </w:p>
    <w:p>
      <w:pPr>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sz w:val="32"/>
          <w:szCs w:val="32"/>
          <w:lang w:val="en-US" w:eastAsia="zh-CN"/>
        </w:rPr>
        <w:t>如今，</w:t>
      </w:r>
      <w:r>
        <w:rPr>
          <w:rFonts w:hint="eastAsia" w:ascii="宋体" w:hAnsi="宋体" w:eastAsia="方正仿宋简体" w:cs="方正仿宋简体"/>
          <w:b w:val="0"/>
          <w:bCs w:val="0"/>
          <w:sz w:val="32"/>
          <w:szCs w:val="32"/>
          <w:lang w:val="en-US" w:eastAsia="zh-CN"/>
        </w:rPr>
        <w:t>现有成品油零售企业市场化改革道路虽然取得很大进展与成效，但是师市零售管理环节亟需加强。一方面，很多企业的经营管理尚未达到精细化，企业整体实力未得到很好的整合与发挥，运用信息化分析、管理的能力发展速度较慢，企业整体的工作效率和竞争能力不能有效应对多变的市场环境。另外，企业普遍存在“用工荒”、“招工难”现象，加油站工作</w:t>
      </w:r>
      <w:r>
        <w:rPr>
          <w:rFonts w:hint="eastAsia" w:ascii="宋体" w:hAnsi="宋体" w:eastAsia="方正仿宋简体" w:cs="方正仿宋简体"/>
          <w:b w:val="0"/>
          <w:bCs w:val="0"/>
          <w:color w:val="auto"/>
          <w:sz w:val="32"/>
          <w:szCs w:val="32"/>
          <w:lang w:val="en-US" w:eastAsia="zh-CN"/>
        </w:rPr>
        <w:t>人员稳定性差、流失率较高，相关奖惩机制缺乏足够的吸引力和约束力，导致很多工作人员工作技能不足、对自身岗位的责任感不强，在站前工作时服务质量和服务效率需要进一步提升。另一方面，</w:t>
      </w:r>
      <w:r>
        <w:rPr>
          <w:rFonts w:hint="eastAsia" w:ascii="宋体" w:hAnsi="宋体" w:eastAsia="方正仿宋简体" w:cs="方正仿宋简体"/>
          <w:color w:val="auto"/>
          <w:sz w:val="32"/>
          <w:szCs w:val="32"/>
          <w:lang w:val="en-US" w:eastAsia="zh-CN"/>
        </w:rPr>
        <w:t>成品油零售体系的安全平稳运行，不但紧密服务于兵团社会经济发展大局，同时密切关系到师市公共安全、城市建设、环境和谐、群众满意等多个方面，</w:t>
      </w:r>
      <w:r>
        <w:rPr>
          <w:rFonts w:hint="eastAsia" w:ascii="宋体" w:hAnsi="宋体" w:eastAsia="方正仿宋简体" w:cs="方正仿宋简体"/>
          <w:b w:val="0"/>
          <w:bCs w:val="0"/>
          <w:color w:val="auto"/>
          <w:sz w:val="32"/>
          <w:szCs w:val="32"/>
          <w:lang w:val="en-US" w:eastAsia="zh-CN"/>
        </w:rPr>
        <w:t>近年来我国成品油行业</w:t>
      </w:r>
      <w:r>
        <w:rPr>
          <w:rFonts w:hint="eastAsia" w:ascii="宋体" w:hAnsi="宋体" w:eastAsia="方正仿宋简体" w:cs="方正仿宋简体"/>
          <w:color w:val="auto"/>
          <w:sz w:val="32"/>
          <w:szCs w:val="32"/>
        </w:rPr>
        <w:t>安全生产</w:t>
      </w:r>
      <w:r>
        <w:rPr>
          <w:rFonts w:hint="eastAsia" w:ascii="宋体" w:hAnsi="宋体" w:eastAsia="方正仿宋简体" w:cs="方正仿宋简体"/>
          <w:color w:val="auto"/>
          <w:sz w:val="32"/>
          <w:szCs w:val="32"/>
          <w:lang w:eastAsia="zh-CN"/>
        </w:rPr>
        <w:t>法律法规及规章制度的不断升级完善</w:t>
      </w:r>
      <w:r>
        <w:rPr>
          <w:rFonts w:hint="eastAsia" w:ascii="宋体" w:hAnsi="宋体" w:eastAsia="方正仿宋简体" w:cs="方正仿宋简体"/>
          <w:color w:val="auto"/>
          <w:sz w:val="32"/>
          <w:szCs w:val="32"/>
        </w:rPr>
        <w:t>，</w:t>
      </w:r>
      <w:r>
        <w:rPr>
          <w:rFonts w:hint="eastAsia" w:ascii="宋体" w:hAnsi="宋体" w:eastAsia="方正仿宋简体" w:cs="方正仿宋简体"/>
          <w:color w:val="auto"/>
          <w:sz w:val="32"/>
          <w:szCs w:val="32"/>
          <w:lang w:eastAsia="zh-CN"/>
        </w:rPr>
        <w:t>企业在落实学习、安全操作、隐患整改等方面需要进一步提升</w:t>
      </w:r>
      <w:r>
        <w:rPr>
          <w:rFonts w:hint="eastAsia" w:ascii="宋体" w:hAnsi="宋体" w:eastAsia="方正仿宋简体" w:cs="方正仿宋简体"/>
          <w:color w:val="auto"/>
          <w:sz w:val="32"/>
          <w:szCs w:val="32"/>
          <w:lang w:val="en-US" w:eastAsia="zh-CN"/>
        </w:rPr>
        <w:t>。“十四五”期间，进一步建立健全安全生产监管机制，切实推行和落实成品油零售企业的安全生产主体责任，为企业的安全生产管理提供制度保障势在必行。此外，必须进一步发挥成品油零售行业规划的引导作用，加强对企业的经营资质、人员证件、安全操作、隐患治理等方面监管。</w:t>
      </w:r>
    </w:p>
    <w:p>
      <w:pPr>
        <w:bidi w:val="0"/>
        <w:rPr>
          <w:rFonts w:hint="default" w:ascii="宋体" w:hAnsi="宋体" w:cs="Times New Roman"/>
          <w:color w:val="auto"/>
          <w:highlight w:val="none"/>
          <w:lang w:val="en-US" w:eastAsia="zh-CN"/>
        </w:rPr>
      </w:pPr>
      <w:r>
        <w:rPr>
          <w:rFonts w:hint="default" w:ascii="宋体" w:hAnsi="宋体" w:cs="Times New Roman"/>
          <w:color w:val="auto"/>
          <w:highlight w:val="none"/>
          <w:lang w:val="en-US" w:eastAsia="zh-CN"/>
        </w:rPr>
        <w:br w:type="page"/>
      </w:r>
    </w:p>
    <w:p>
      <w:pPr>
        <w:pStyle w:val="3"/>
        <w:numPr>
          <w:ilvl w:val="0"/>
          <w:numId w:val="0"/>
        </w:numPr>
        <w:bidi w:val="0"/>
        <w:ind w:left="402" w:leftChars="0"/>
        <w:jc w:val="center"/>
        <w:rPr>
          <w:rFonts w:hint="eastAsia" w:ascii="宋体" w:hAnsi="宋体" w:eastAsia="方正小标宋简体" w:cs="方正小标宋简体"/>
          <w:b w:val="0"/>
          <w:bCs/>
          <w:color w:val="auto"/>
          <w:highlight w:val="none"/>
          <w:lang w:val="en-US" w:eastAsia="zh-CN"/>
        </w:rPr>
      </w:pPr>
      <w:bookmarkStart w:id="5" w:name="_Toc24685"/>
      <w:r>
        <w:rPr>
          <w:rFonts w:hint="eastAsia" w:ascii="宋体" w:hAnsi="宋体" w:eastAsia="方正小标宋简体" w:cs="方正小标宋简体"/>
          <w:b w:val="0"/>
          <w:bCs/>
          <w:color w:val="auto"/>
          <w:highlight w:val="none"/>
          <w:lang w:val="en-US" w:eastAsia="zh-CN"/>
        </w:rPr>
        <w:t>第二章 总体要求</w:t>
      </w:r>
      <w:bookmarkEnd w:id="5"/>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6" w:name="_Toc15369"/>
      <w:r>
        <w:rPr>
          <w:rFonts w:hint="eastAsia" w:ascii="宋体" w:hAnsi="宋体" w:cs="Times New Roman"/>
          <w:b w:val="0"/>
          <w:bCs w:val="0"/>
          <w:color w:val="auto"/>
          <w:highlight w:val="none"/>
          <w:lang w:val="en-US" w:eastAsia="zh-CN"/>
        </w:rPr>
        <w:t xml:space="preserve">第一节 </w:t>
      </w:r>
      <w:r>
        <w:rPr>
          <w:rFonts w:hint="default" w:ascii="宋体" w:hAnsi="宋体" w:cs="Times New Roman"/>
          <w:b w:val="0"/>
          <w:bCs w:val="0"/>
          <w:color w:val="auto"/>
          <w:highlight w:val="none"/>
          <w:lang w:val="en-US" w:eastAsia="zh-CN"/>
        </w:rPr>
        <w:t>规划依据</w:t>
      </w:r>
      <w:bookmarkEnd w:id="6"/>
    </w:p>
    <w:p>
      <w:pPr>
        <w:bidi w:val="0"/>
        <w:rPr>
          <w:rFonts w:hint="default" w:ascii="宋体" w:hAnsi="宋体" w:cs="Times New Roman"/>
          <w:b/>
          <w:bCs/>
          <w:color w:val="auto"/>
          <w:lang w:val="en-US" w:eastAsia="zh-CN"/>
        </w:rPr>
      </w:pPr>
      <w:r>
        <w:rPr>
          <w:rFonts w:hint="default" w:ascii="宋体" w:hAnsi="宋体" w:cs="Times New Roman"/>
          <w:b/>
          <w:bCs/>
          <w:color w:val="auto"/>
          <w:lang w:val="en-US" w:eastAsia="zh-CN"/>
        </w:rPr>
        <w:t>一、国家法律、法规、规范性文件和有关行业标准</w:t>
      </w:r>
    </w:p>
    <w:p>
      <w:pPr>
        <w:bidi w:val="0"/>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1.《中华人民共和国城乡规划法》（2019年修正）；</w:t>
      </w:r>
    </w:p>
    <w:p>
      <w:pPr>
        <w:bidi w:val="0"/>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2.《中华人民共和国土地管理法》（2019年修正）；</w:t>
      </w:r>
    </w:p>
    <w:p>
      <w:pPr>
        <w:bidi w:val="0"/>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3.《城市规划编制办法》（中华人民共和国建设部令2006年第146号）；</w:t>
      </w:r>
    </w:p>
    <w:p>
      <w:pPr>
        <w:bidi w:val="0"/>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4.《成品油零售企业管理技术规范》（SB/T10390-2004）；</w:t>
      </w:r>
    </w:p>
    <w:p>
      <w:pPr>
        <w:bidi w:val="0"/>
        <w:ind w:left="0" w:leftChars="0" w:firstLine="640" w:firstLineChars="200"/>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5.《汽车加油加气站设计与施工规范》（GB50156-2012）；</w:t>
      </w:r>
    </w:p>
    <w:p>
      <w:pPr>
        <w:bidi w:val="0"/>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6.《加油站服务技术规范》（SB/T 10591-2011）；</w:t>
      </w:r>
    </w:p>
    <w:p>
      <w:pPr>
        <w:bidi w:val="0"/>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7.《加油站非油品特许经营管理规范》（SB/T 10816-2012）；</w:t>
      </w:r>
    </w:p>
    <w:p>
      <w:pPr>
        <w:bidi w:val="0"/>
        <w:rPr>
          <w:rFonts w:hint="default" w:ascii="宋体" w:hAnsi="宋体" w:cs="Times New Roman"/>
          <w:color w:val="auto"/>
          <w:lang w:val="en-US" w:eastAsia="zh-CN"/>
        </w:rPr>
      </w:pPr>
      <w:r>
        <w:rPr>
          <w:rFonts w:hint="eastAsia" w:ascii="宋体" w:hAnsi="宋体" w:eastAsia="方正仿宋简体" w:cs="方正仿宋简体"/>
          <w:color w:val="auto"/>
          <w:lang w:val="en-US" w:eastAsia="zh-CN"/>
        </w:rPr>
        <w:t>8.《建筑设计防火规范》（GB50016-2014）。</w:t>
      </w:r>
    </w:p>
    <w:p>
      <w:pPr>
        <w:bidi w:val="0"/>
        <w:rPr>
          <w:rFonts w:hint="default" w:ascii="宋体" w:hAnsi="宋体" w:cs="Times New Roman"/>
          <w:b/>
          <w:bCs/>
          <w:color w:val="auto"/>
          <w:lang w:val="en-US" w:eastAsia="zh-CN"/>
        </w:rPr>
      </w:pPr>
      <w:r>
        <w:rPr>
          <w:rFonts w:hint="default" w:ascii="宋体" w:hAnsi="宋体" w:cs="Times New Roman"/>
          <w:b/>
          <w:bCs/>
          <w:color w:val="auto"/>
          <w:lang w:val="en-US" w:eastAsia="zh-CN"/>
        </w:rPr>
        <w:t>二、相关规划</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color w:val="auto"/>
          <w:lang w:val="en-US" w:eastAsia="zh-CN"/>
        </w:rPr>
        <w:t>1</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《新疆生产建设兵团国民经济与社会发展第十四个五年规划和二〇三五年远景目标纲要》；</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color w:val="auto"/>
          <w:lang w:val="en-US" w:eastAsia="zh-CN"/>
        </w:rPr>
        <w:t>2</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《第二师铁门关市国民经济和社会发展第十四个五年规划和二〇三五年远景目标纲要》；</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color w:val="auto"/>
          <w:lang w:val="en-US" w:eastAsia="zh-CN"/>
        </w:rPr>
        <w:t>3</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铁门关市城市总体规划（2018-2035）。</w:t>
      </w:r>
    </w:p>
    <w:p>
      <w:pPr>
        <w:bidi w:val="0"/>
        <w:rPr>
          <w:rFonts w:hint="default" w:ascii="宋体" w:hAnsi="宋体" w:cs="Times New Roman"/>
          <w:b/>
          <w:bCs/>
          <w:color w:val="auto"/>
          <w:lang w:val="en-US" w:eastAsia="zh-CN"/>
        </w:rPr>
      </w:pPr>
      <w:r>
        <w:rPr>
          <w:rFonts w:hint="default" w:ascii="宋体" w:hAnsi="宋体" w:cs="Times New Roman"/>
          <w:b/>
          <w:bCs/>
          <w:color w:val="auto"/>
          <w:lang w:val="en-US" w:eastAsia="zh-CN"/>
        </w:rPr>
        <w:t>三、通知文件</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color w:val="auto"/>
          <w:lang w:val="en-US" w:eastAsia="zh-CN"/>
        </w:rPr>
        <w:t>1</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《国务院办公厅关于加快发展流通促进商业消费的意见》（国办发〔2019〕42号）；</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color w:val="auto"/>
          <w:lang w:val="en-US" w:eastAsia="zh-CN"/>
        </w:rPr>
        <w:t>2</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兵团商务局《关于做好成品油零售体系</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十四五</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规划编制工作的通知》（兵商务字〔20</w:t>
      </w:r>
      <w:r>
        <w:rPr>
          <w:rFonts w:hint="eastAsia" w:ascii="宋体" w:hAnsi="宋体" w:eastAsia="方正仿宋简体" w:cs="方正仿宋简体"/>
          <w:color w:val="auto"/>
          <w:lang w:val="en-US" w:eastAsia="zh-CN"/>
        </w:rPr>
        <w:t>20</w:t>
      </w:r>
      <w:r>
        <w:rPr>
          <w:rFonts w:hint="default" w:ascii="宋体" w:hAnsi="宋体" w:eastAsia="方正仿宋简体" w:cs="方正仿宋简体"/>
          <w:color w:val="auto"/>
          <w:lang w:val="en-US" w:eastAsia="zh-CN"/>
        </w:rPr>
        <w:t>〕42号）。</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7" w:name="_Toc30200"/>
      <w:r>
        <w:rPr>
          <w:rFonts w:hint="eastAsia" w:ascii="宋体" w:hAnsi="宋体" w:cs="Times New Roman"/>
          <w:b w:val="0"/>
          <w:bCs w:val="0"/>
          <w:color w:val="auto"/>
          <w:highlight w:val="none"/>
          <w:lang w:val="en-US" w:eastAsia="zh-CN"/>
        </w:rPr>
        <w:t xml:space="preserve">第二节 </w:t>
      </w:r>
      <w:r>
        <w:rPr>
          <w:rFonts w:hint="default" w:ascii="宋体" w:hAnsi="宋体" w:cs="Times New Roman"/>
          <w:b w:val="0"/>
          <w:bCs w:val="0"/>
          <w:color w:val="auto"/>
          <w:highlight w:val="none"/>
          <w:lang w:val="en-US" w:eastAsia="zh-CN"/>
        </w:rPr>
        <w:t>指导思想</w:t>
      </w:r>
      <w:bookmarkEnd w:id="7"/>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color w:val="auto"/>
          <w:lang w:val="en-US" w:eastAsia="zh-CN"/>
        </w:rPr>
        <w:t>以习近平新时代中国特色社会主义思想为指导，深入贯彻党的十九大和十九届</w:t>
      </w:r>
      <w:r>
        <w:rPr>
          <w:rFonts w:hint="eastAsia" w:ascii="宋体" w:hAnsi="宋体" w:eastAsia="方正仿宋简体" w:cs="方正仿宋简体"/>
          <w:color w:val="auto"/>
          <w:lang w:val="en-US" w:eastAsia="zh-CN"/>
        </w:rPr>
        <w:t>历次</w:t>
      </w:r>
      <w:r>
        <w:rPr>
          <w:rFonts w:hint="default" w:ascii="宋体" w:hAnsi="宋体" w:eastAsia="方正仿宋简体" w:cs="方正仿宋简体"/>
          <w:color w:val="auto"/>
          <w:lang w:val="en-US" w:eastAsia="zh-CN"/>
        </w:rPr>
        <w:t>全会精神，完整准确贯彻落实第三次中央新疆工作座谈会精神，聚焦更好履行兵团职责使命，全面把握新发展阶段，</w:t>
      </w:r>
      <w:r>
        <w:rPr>
          <w:rFonts w:hint="eastAsia" w:ascii="宋体" w:hAnsi="宋体" w:eastAsia="方正仿宋简体" w:cs="方正仿宋简体"/>
          <w:color w:val="auto"/>
          <w:lang w:val="en-US" w:eastAsia="zh-CN"/>
        </w:rPr>
        <w:t>立足</w:t>
      </w:r>
      <w:r>
        <w:rPr>
          <w:rFonts w:hint="default" w:ascii="宋体" w:hAnsi="宋体" w:eastAsia="方正仿宋简体" w:cs="方正仿宋简体"/>
          <w:color w:val="auto"/>
          <w:lang w:val="en-US" w:eastAsia="zh-CN"/>
        </w:rPr>
        <w:t>新发展理念，融入新发展格局，突出抓好深化兵团改革和向南发展两大重任，坚持兵地深度融合。</w:t>
      </w:r>
      <w:r>
        <w:rPr>
          <w:rFonts w:hint="eastAsia" w:ascii="宋体" w:hAnsi="宋体" w:eastAsia="方正仿宋简体" w:cs="方正仿宋简体"/>
          <w:color w:val="auto"/>
          <w:lang w:val="en-US" w:eastAsia="zh-CN"/>
        </w:rPr>
        <w:t>以</w:t>
      </w:r>
      <w:r>
        <w:rPr>
          <w:rFonts w:hint="default" w:ascii="宋体" w:hAnsi="宋体" w:eastAsia="方正仿宋简体" w:cs="方正仿宋简体"/>
          <w:color w:val="auto"/>
          <w:lang w:val="en-US" w:eastAsia="zh-CN"/>
        </w:rPr>
        <w:t>国家有关成品油市场管理法规文件精神为指导，以满足需求、服务经济、促进发展为目标，按照</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控制总量、合理布局、规范经营、发展有序</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的原则，通过编制和实施规划，加强成品油零售行业发展的宏观调控和管理，不断推进成品油市场流通现代化。逐步建立起与国民经济发展相适应、满足广大消费者需要、布局科学合理、竞争有序、功能完善的现代化加油站销售服务网络体系，促进成品油分销网络的统筹协调发展，为师市经济平稳较快发展和满足广大消费者需求提供坚实的保障。</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8" w:name="_Toc16407"/>
      <w:r>
        <w:rPr>
          <w:rFonts w:hint="eastAsia" w:ascii="宋体" w:hAnsi="宋体" w:cs="Times New Roman"/>
          <w:b w:val="0"/>
          <w:bCs w:val="0"/>
          <w:color w:val="auto"/>
          <w:highlight w:val="none"/>
          <w:lang w:val="en-US" w:eastAsia="zh-CN"/>
        </w:rPr>
        <w:t xml:space="preserve">第三节 </w:t>
      </w:r>
      <w:r>
        <w:rPr>
          <w:rFonts w:hint="default" w:ascii="宋体" w:hAnsi="宋体" w:cs="Times New Roman"/>
          <w:b w:val="0"/>
          <w:bCs w:val="0"/>
          <w:color w:val="auto"/>
          <w:highlight w:val="none"/>
          <w:lang w:val="en-US" w:eastAsia="zh-CN"/>
        </w:rPr>
        <w:t>规划原则</w:t>
      </w:r>
      <w:bookmarkEnd w:id="8"/>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b/>
          <w:bCs/>
          <w:color w:val="auto"/>
          <w:lang w:val="en-US" w:eastAsia="zh-CN"/>
        </w:rPr>
        <w:t>——全面梳理，科学规划。</w:t>
      </w:r>
      <w:r>
        <w:rPr>
          <w:rFonts w:hint="default" w:ascii="宋体" w:hAnsi="宋体" w:eastAsia="方正仿宋简体" w:cs="方正仿宋简体"/>
          <w:color w:val="auto"/>
          <w:lang w:val="en-US" w:eastAsia="zh-CN"/>
        </w:rPr>
        <w:t>在成品油需求现状基础上，科学预测成品油需求趋势，按照减少流通环节、提高流通效率、符合现代流通体系的要求，在满足市场需求的前提下科学控制成品油零售企业总量，合理规划、分期建设、有序发展。为适应汽车能源多元化的发展趋势，在有条件的区域为油、气、氢、电动等多式联营建站预留空间。</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b/>
          <w:bCs/>
          <w:color w:val="auto"/>
          <w:lang w:val="en-US" w:eastAsia="zh-CN"/>
        </w:rPr>
        <w:t>——控制总量、合理布局。</w:t>
      </w:r>
      <w:r>
        <w:rPr>
          <w:rFonts w:hint="default" w:ascii="宋体" w:hAnsi="宋体" w:eastAsia="方正仿宋简体" w:cs="方正仿宋简体"/>
          <w:color w:val="auto"/>
          <w:lang w:val="en-US" w:eastAsia="zh-CN"/>
        </w:rPr>
        <w:t>基于师市成品油零售体系发展现状、社会经济和机动车发展趋势，合理预测成品油零售体系发展规模，严格控制总量，统筹各团</w:t>
      </w:r>
      <w:r>
        <w:rPr>
          <w:rFonts w:hint="eastAsia" w:ascii="宋体" w:hAnsi="宋体" w:eastAsia="方正仿宋简体" w:cs="方正仿宋简体"/>
          <w:color w:val="auto"/>
          <w:lang w:val="en-US" w:eastAsia="zh-CN"/>
        </w:rPr>
        <w:t>（镇）</w:t>
      </w:r>
      <w:r>
        <w:rPr>
          <w:rFonts w:hint="default" w:ascii="宋体" w:hAnsi="宋体" w:eastAsia="方正仿宋简体" w:cs="方正仿宋简体"/>
          <w:color w:val="auto"/>
          <w:lang w:val="en-US" w:eastAsia="zh-CN"/>
        </w:rPr>
        <w:t>发展实际情况，充分考虑资源和生态环境的承载能力，科学合理布局，优化结构，努力建设</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低消耗、少排放、能循环、可持续</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的节约型成品油分销体系。</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b/>
          <w:bCs/>
          <w:color w:val="auto"/>
          <w:lang w:val="en-US" w:eastAsia="zh-CN"/>
        </w:rPr>
        <w:t>——区域协调、均衡发展。</w:t>
      </w:r>
      <w:r>
        <w:rPr>
          <w:rFonts w:hint="default" w:ascii="宋体" w:hAnsi="宋体" w:eastAsia="方正仿宋简体" w:cs="方正仿宋简体"/>
          <w:color w:val="auto"/>
          <w:lang w:val="en-US" w:eastAsia="zh-CN"/>
        </w:rPr>
        <w:t>以新型城镇化建设为指导，缩小城乡社会公共服务水平差距，推动成品油零售体系均衡发展，消除城乡间成品油资源有效流动的障碍，实现普遍服务和市场效率的有机结合。促进</w:t>
      </w:r>
      <w:r>
        <w:rPr>
          <w:rFonts w:hint="eastAsia" w:ascii="宋体" w:hAnsi="宋体" w:eastAsia="方正仿宋简体" w:cs="方正仿宋简体"/>
          <w:color w:val="auto"/>
          <w:lang w:val="en-US" w:eastAsia="zh-CN"/>
        </w:rPr>
        <w:t>铁门关市</w:t>
      </w:r>
      <w:r>
        <w:rPr>
          <w:rFonts w:hint="default" w:ascii="宋体" w:hAnsi="宋体" w:eastAsia="方正仿宋简体" w:cs="方正仿宋简体"/>
          <w:color w:val="auto"/>
          <w:lang w:val="en-US" w:eastAsia="zh-CN"/>
        </w:rPr>
        <w:t>和团</w:t>
      </w:r>
      <w:r>
        <w:rPr>
          <w:rFonts w:hint="eastAsia" w:ascii="宋体" w:hAnsi="宋体" w:eastAsia="方正仿宋简体" w:cs="方正仿宋简体"/>
          <w:color w:val="auto"/>
          <w:lang w:val="en-US" w:eastAsia="zh-CN"/>
        </w:rPr>
        <w:t>（镇）</w:t>
      </w:r>
      <w:r>
        <w:rPr>
          <w:rFonts w:hint="default" w:ascii="宋体" w:hAnsi="宋体" w:eastAsia="方正仿宋简体" w:cs="方正仿宋简体"/>
          <w:color w:val="auto"/>
          <w:lang w:val="en-US" w:eastAsia="zh-CN"/>
        </w:rPr>
        <w:t>成品油零售网络协调发展，满足农业劳动生产和群众消费水平提高所带动的成品油需求。认真贯彻落实《国务院办公厅关于加快发展流通促进商业消费的意见》（国办发〔2019〕42号），加强团</w:t>
      </w:r>
      <w:r>
        <w:rPr>
          <w:rFonts w:hint="eastAsia" w:ascii="宋体" w:hAnsi="宋体" w:eastAsia="方正仿宋简体" w:cs="方正仿宋简体"/>
          <w:color w:val="auto"/>
          <w:lang w:val="en-US" w:eastAsia="zh-CN"/>
        </w:rPr>
        <w:t>（镇）</w:t>
      </w:r>
      <w:r>
        <w:rPr>
          <w:rFonts w:hint="default" w:ascii="宋体" w:hAnsi="宋体" w:eastAsia="方正仿宋简体" w:cs="方正仿宋简体"/>
          <w:color w:val="auto"/>
          <w:lang w:val="en-US" w:eastAsia="zh-CN"/>
        </w:rPr>
        <w:t>及偏远连队加油站建设。</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b/>
          <w:bCs/>
          <w:color w:val="auto"/>
          <w:lang w:val="en-US" w:eastAsia="zh-CN"/>
        </w:rPr>
        <w:t>——创新服务、绿色发展。</w:t>
      </w:r>
      <w:r>
        <w:rPr>
          <w:rFonts w:hint="default" w:ascii="宋体" w:hAnsi="宋体" w:eastAsia="方正仿宋简体" w:cs="方正仿宋简体"/>
          <w:color w:val="auto"/>
          <w:lang w:val="en-US" w:eastAsia="zh-CN"/>
        </w:rPr>
        <w:t>充分利用物联网、云计算、大数据等手段，发展智慧加油服务。统筹规划非油零售品服务设施，开展加油站便利店、汽车维修保养等油品服务，促进加油站向服务站转变，提升服务水平。适应汽车能源多元化的发展趋势，在有条件的区域为油、气、氢、电动等多式联营建站预留空间。</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9" w:name="_Toc8041"/>
      <w:r>
        <w:rPr>
          <w:rFonts w:hint="eastAsia" w:ascii="宋体" w:hAnsi="宋体" w:cs="Times New Roman"/>
          <w:b w:val="0"/>
          <w:bCs w:val="0"/>
          <w:color w:val="auto"/>
          <w:highlight w:val="none"/>
          <w:lang w:val="en-US" w:eastAsia="zh-CN"/>
        </w:rPr>
        <w:t xml:space="preserve">第四节 </w:t>
      </w:r>
      <w:r>
        <w:rPr>
          <w:rFonts w:hint="default" w:ascii="宋体" w:hAnsi="宋体" w:cs="Times New Roman"/>
          <w:b w:val="0"/>
          <w:bCs w:val="0"/>
          <w:color w:val="auto"/>
          <w:highlight w:val="none"/>
          <w:lang w:val="en-US" w:eastAsia="zh-CN"/>
        </w:rPr>
        <w:t>规划范围</w:t>
      </w:r>
      <w:bookmarkEnd w:id="9"/>
    </w:p>
    <w:p>
      <w:pPr>
        <w:bidi w:val="0"/>
        <w:rPr>
          <w:rFonts w:hint="default"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“十四五”成品油零售体系规划覆盖</w:t>
      </w:r>
      <w:r>
        <w:rPr>
          <w:rFonts w:hint="default" w:ascii="宋体" w:hAnsi="宋体" w:eastAsia="方正仿宋简体" w:cs="方正仿宋简体"/>
          <w:color w:val="auto"/>
          <w:lang w:val="en-US" w:eastAsia="zh-CN"/>
        </w:rPr>
        <w:t>师市辖区内所有对外经营的</w:t>
      </w:r>
      <w:r>
        <w:rPr>
          <w:rFonts w:hint="eastAsia" w:ascii="宋体" w:hAnsi="宋体" w:eastAsia="方正仿宋简体" w:cs="方正仿宋简体"/>
          <w:color w:val="auto"/>
          <w:lang w:val="en-US" w:eastAsia="zh-CN"/>
        </w:rPr>
        <w:t>加油</w:t>
      </w:r>
      <w:r>
        <w:rPr>
          <w:rFonts w:hint="default" w:ascii="宋体" w:hAnsi="宋体" w:eastAsia="方正仿宋简体" w:cs="方正仿宋简体"/>
          <w:color w:val="auto"/>
          <w:lang w:val="en-US" w:eastAsia="zh-CN"/>
        </w:rPr>
        <w:t>站。即</w:t>
      </w:r>
      <w:r>
        <w:rPr>
          <w:rFonts w:hint="eastAsia" w:ascii="宋体" w:hAnsi="宋体" w:eastAsia="方正仿宋简体" w:cs="方正仿宋简体"/>
          <w:color w:val="auto"/>
          <w:lang w:val="en-US" w:eastAsia="zh-CN"/>
        </w:rPr>
        <w:t>铁门关市和</w:t>
      </w:r>
      <w:r>
        <w:rPr>
          <w:rFonts w:hint="default" w:ascii="宋体" w:hAnsi="宋体" w:eastAsia="方正仿宋简体" w:cs="方正仿宋简体"/>
          <w:color w:val="auto"/>
          <w:lang w:val="en-US" w:eastAsia="zh-CN"/>
        </w:rPr>
        <w:t>14个团</w:t>
      </w:r>
      <w:r>
        <w:rPr>
          <w:rFonts w:hint="eastAsia" w:ascii="宋体" w:hAnsi="宋体" w:eastAsia="方正仿宋简体" w:cs="方正仿宋简体"/>
          <w:color w:val="auto"/>
          <w:lang w:val="en-US" w:eastAsia="zh-CN"/>
        </w:rPr>
        <w:t>（镇）</w:t>
      </w:r>
      <w:r>
        <w:rPr>
          <w:rFonts w:hint="default" w:ascii="宋体" w:hAnsi="宋体" w:eastAsia="方正仿宋简体" w:cs="方正仿宋简体"/>
          <w:color w:val="auto"/>
          <w:lang w:val="en-US" w:eastAsia="zh-CN"/>
        </w:rPr>
        <w:t>（21团、22团、24团、25团、27团、29团、30团、31团、33团、34团、36团、37团、38团、223团）</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以及穿越师市辖区的高速公路、国道、省道、县道等干线公路的两侧区域。</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10" w:name="_Toc6163"/>
      <w:r>
        <w:rPr>
          <w:rFonts w:hint="eastAsia" w:ascii="宋体" w:hAnsi="宋体" w:cs="Times New Roman"/>
          <w:b w:val="0"/>
          <w:bCs w:val="0"/>
          <w:color w:val="auto"/>
          <w:highlight w:val="none"/>
          <w:lang w:val="en-US" w:eastAsia="zh-CN"/>
        </w:rPr>
        <w:t xml:space="preserve">第五节 </w:t>
      </w:r>
      <w:r>
        <w:rPr>
          <w:rFonts w:hint="default" w:ascii="宋体" w:hAnsi="宋体" w:cs="Times New Roman"/>
          <w:b w:val="0"/>
          <w:bCs w:val="0"/>
          <w:color w:val="auto"/>
          <w:highlight w:val="none"/>
          <w:lang w:val="en-US" w:eastAsia="zh-CN"/>
        </w:rPr>
        <w:t>主要结论</w:t>
      </w:r>
      <w:bookmarkEnd w:id="10"/>
    </w:p>
    <w:p>
      <w:pPr>
        <w:bidi w:val="0"/>
        <w:rPr>
          <w:rFonts w:hint="default" w:ascii="宋体" w:hAnsi="宋体" w:cs="Times New Roman"/>
          <w:color w:val="auto"/>
          <w:highlight w:val="none"/>
          <w:lang w:val="en-US" w:eastAsia="zh-CN"/>
        </w:rPr>
      </w:pPr>
      <w:r>
        <w:rPr>
          <w:rFonts w:hint="default" w:ascii="宋体" w:hAnsi="宋体" w:cs="Times New Roman"/>
          <w:color w:val="auto"/>
          <w:highlight w:val="none"/>
          <w:lang w:val="en-US" w:eastAsia="zh-CN"/>
        </w:rPr>
        <w:t>依据规划指导思想、原则和师市现有加油站数量及分布情况，规划到2025年，师市</w:t>
      </w:r>
      <w:r>
        <w:rPr>
          <w:rFonts w:hint="eastAsia" w:ascii="宋体" w:hAnsi="宋体" w:cs="Times New Roman"/>
          <w:color w:val="auto"/>
          <w:highlight w:val="none"/>
          <w:lang w:val="en-US" w:eastAsia="zh-CN"/>
        </w:rPr>
        <w:t>辖区内</w:t>
      </w:r>
      <w:r>
        <w:rPr>
          <w:rFonts w:hint="default" w:ascii="宋体" w:hAnsi="宋体" w:cs="Times New Roman"/>
          <w:color w:val="auto"/>
          <w:highlight w:val="none"/>
          <w:lang w:val="en-US" w:eastAsia="zh-CN"/>
        </w:rPr>
        <w:t>拟</w:t>
      </w:r>
      <w:r>
        <w:rPr>
          <w:rFonts w:hint="eastAsia" w:ascii="宋体" w:hAnsi="宋体" w:cs="Times New Roman"/>
          <w:color w:val="auto"/>
          <w:highlight w:val="none"/>
          <w:lang w:val="en-US" w:eastAsia="zh-CN"/>
        </w:rPr>
        <w:t>新</w:t>
      </w:r>
      <w:r>
        <w:rPr>
          <w:rFonts w:hint="default" w:ascii="宋体" w:hAnsi="宋体" w:cs="Times New Roman"/>
          <w:color w:val="auto"/>
          <w:highlight w:val="none"/>
          <w:lang w:val="en-US" w:eastAsia="zh-CN"/>
        </w:rPr>
        <w:t>建</w:t>
      </w:r>
      <w:r>
        <w:rPr>
          <w:rFonts w:hint="eastAsia" w:ascii="宋体" w:hAnsi="宋体" w:cs="Times New Roman"/>
          <w:color w:val="auto"/>
          <w:highlight w:val="none"/>
          <w:lang w:val="en-US" w:eastAsia="zh-CN"/>
        </w:rPr>
        <w:t>及改扩建</w:t>
      </w:r>
      <w:r>
        <w:rPr>
          <w:rFonts w:hint="default" w:ascii="宋体" w:hAnsi="宋体" w:cs="Times New Roman"/>
          <w:color w:val="auto"/>
          <w:highlight w:val="none"/>
          <w:lang w:val="en-US" w:eastAsia="zh-CN"/>
        </w:rPr>
        <w:t>加油站</w:t>
      </w:r>
      <w:r>
        <w:rPr>
          <w:rFonts w:hint="eastAsia" w:ascii="宋体" w:hAnsi="宋体" w:cs="Times New Roman"/>
          <w:color w:val="auto"/>
          <w:highlight w:val="none"/>
          <w:lang w:val="en-US" w:eastAsia="zh-CN"/>
        </w:rPr>
        <w:t>35</w:t>
      </w:r>
      <w:r>
        <w:rPr>
          <w:rFonts w:hint="default" w:ascii="宋体" w:hAnsi="宋体" w:cs="Times New Roman"/>
          <w:color w:val="auto"/>
          <w:highlight w:val="none"/>
          <w:lang w:val="en-US" w:eastAsia="zh-CN"/>
        </w:rPr>
        <w:t>座</w:t>
      </w:r>
      <w:r>
        <w:rPr>
          <w:rFonts w:hint="eastAsia" w:ascii="宋体" w:hAnsi="宋体" w:cs="Times New Roman"/>
          <w:color w:val="auto"/>
          <w:highlight w:val="none"/>
          <w:lang w:val="en-US" w:eastAsia="zh-CN"/>
        </w:rPr>
        <w:t>。</w:t>
      </w:r>
      <w:r>
        <w:rPr>
          <w:rFonts w:hint="default" w:ascii="宋体" w:hAnsi="宋体" w:cs="Times New Roman"/>
          <w:color w:val="auto"/>
          <w:highlight w:val="none"/>
          <w:lang w:val="en-US" w:eastAsia="zh-CN"/>
        </w:rPr>
        <w:t>其中</w:t>
      </w:r>
      <w:r>
        <w:rPr>
          <w:rFonts w:hint="eastAsia" w:ascii="宋体" w:hAnsi="宋体" w:cs="Times New Roman"/>
          <w:color w:val="auto"/>
          <w:highlight w:val="none"/>
          <w:lang w:val="en-US" w:eastAsia="zh-CN"/>
        </w:rPr>
        <w:t>新建</w:t>
      </w:r>
      <w:r>
        <w:rPr>
          <w:rFonts w:hint="default" w:ascii="宋体" w:hAnsi="宋体" w:cs="Times New Roman"/>
          <w:color w:val="auto"/>
          <w:highlight w:val="none"/>
          <w:lang w:val="en-US" w:eastAsia="zh-CN"/>
        </w:rPr>
        <w:t>团</w:t>
      </w:r>
      <w:r>
        <w:rPr>
          <w:rFonts w:hint="eastAsia" w:ascii="宋体" w:hAnsi="宋体" w:cs="Times New Roman"/>
          <w:color w:val="auto"/>
          <w:highlight w:val="none"/>
          <w:lang w:val="en-US" w:eastAsia="zh-CN"/>
        </w:rPr>
        <w:t>（镇）国省道</w:t>
      </w:r>
      <w:r>
        <w:rPr>
          <w:rFonts w:hint="default" w:ascii="宋体" w:hAnsi="宋体" w:cs="Times New Roman"/>
          <w:color w:val="auto"/>
          <w:highlight w:val="none"/>
          <w:lang w:val="en-US" w:eastAsia="zh-CN"/>
        </w:rPr>
        <w:t>加油站</w:t>
      </w:r>
      <w:r>
        <w:rPr>
          <w:rFonts w:hint="eastAsia" w:ascii="宋体" w:hAnsi="宋体" w:cs="Times New Roman"/>
          <w:color w:val="auto"/>
          <w:highlight w:val="none"/>
          <w:lang w:val="en-US" w:eastAsia="zh-CN"/>
        </w:rPr>
        <w:t>8</w:t>
      </w:r>
      <w:r>
        <w:rPr>
          <w:rFonts w:hint="default" w:ascii="宋体" w:hAnsi="宋体" w:cs="Times New Roman"/>
          <w:color w:val="auto"/>
          <w:highlight w:val="none"/>
          <w:lang w:val="en-US" w:eastAsia="zh-CN"/>
        </w:rPr>
        <w:t>座</w:t>
      </w:r>
      <w:r>
        <w:rPr>
          <w:rFonts w:hint="eastAsia" w:ascii="宋体" w:hAnsi="宋体" w:cs="Times New Roman"/>
          <w:color w:val="auto"/>
          <w:highlight w:val="none"/>
          <w:lang w:val="en-US" w:eastAsia="zh-CN"/>
        </w:rPr>
        <w:t>、新建城镇</w:t>
      </w:r>
      <w:r>
        <w:rPr>
          <w:rFonts w:hint="default" w:ascii="宋体" w:hAnsi="宋体" w:cs="Times New Roman"/>
          <w:color w:val="auto"/>
          <w:highlight w:val="none"/>
          <w:lang w:val="en-US" w:eastAsia="zh-CN"/>
        </w:rPr>
        <w:t>加油站</w:t>
      </w:r>
      <w:r>
        <w:rPr>
          <w:rFonts w:hint="eastAsia" w:ascii="宋体" w:hAnsi="宋体" w:cs="Times New Roman"/>
          <w:color w:val="auto"/>
          <w:highlight w:val="none"/>
          <w:lang w:val="en-US" w:eastAsia="zh-CN"/>
        </w:rPr>
        <w:t>19</w:t>
      </w:r>
      <w:r>
        <w:rPr>
          <w:rFonts w:hint="default" w:ascii="宋体" w:hAnsi="宋体" w:cs="Times New Roman"/>
          <w:color w:val="auto"/>
          <w:highlight w:val="none"/>
          <w:lang w:val="en-US" w:eastAsia="zh-CN"/>
        </w:rPr>
        <w:t>座</w:t>
      </w:r>
      <w:r>
        <w:rPr>
          <w:rFonts w:hint="eastAsia" w:ascii="宋体" w:hAnsi="宋体" w:cs="Times New Roman"/>
          <w:color w:val="auto"/>
          <w:highlight w:val="none"/>
          <w:lang w:val="en-US" w:eastAsia="zh-CN"/>
        </w:rPr>
        <w:t>、新建高速公路及</w:t>
      </w:r>
      <w:r>
        <w:rPr>
          <w:rFonts w:hint="default" w:ascii="宋体" w:hAnsi="宋体" w:cs="Times New Roman"/>
          <w:color w:val="auto"/>
          <w:highlight w:val="none"/>
          <w:lang w:val="en-US" w:eastAsia="zh-CN"/>
        </w:rPr>
        <w:t>沿线加油站</w:t>
      </w:r>
      <w:r>
        <w:rPr>
          <w:rFonts w:hint="eastAsia" w:ascii="宋体" w:hAnsi="宋体" w:cs="Times New Roman"/>
          <w:color w:val="auto"/>
          <w:highlight w:val="none"/>
          <w:lang w:val="en-US" w:eastAsia="zh-CN"/>
        </w:rPr>
        <w:t>4</w:t>
      </w:r>
      <w:r>
        <w:rPr>
          <w:rFonts w:hint="default" w:ascii="宋体" w:hAnsi="宋体" w:cs="Times New Roman"/>
          <w:color w:val="auto"/>
          <w:highlight w:val="none"/>
          <w:lang w:val="en-US" w:eastAsia="zh-CN"/>
        </w:rPr>
        <w:t>座</w:t>
      </w:r>
      <w:r>
        <w:rPr>
          <w:rFonts w:hint="eastAsia" w:ascii="宋体" w:hAnsi="宋体" w:cs="Times New Roman"/>
          <w:color w:val="auto"/>
          <w:highlight w:val="none"/>
          <w:lang w:val="en-US" w:eastAsia="zh-CN"/>
        </w:rPr>
        <w:t>，迁址建设加油站1座、原址改扩建加油站3座。</w:t>
      </w:r>
      <w:r>
        <w:rPr>
          <w:rFonts w:hint="default" w:ascii="宋体" w:hAnsi="宋体" w:cs="Times New Roman"/>
          <w:color w:val="auto"/>
          <w:highlight w:val="none"/>
          <w:lang w:val="en-US" w:eastAsia="zh-CN"/>
        </w:rPr>
        <w:t>规划到2025年，师市加油站总数将由2</w:t>
      </w:r>
      <w:r>
        <w:rPr>
          <w:rFonts w:hint="eastAsia" w:ascii="宋体" w:hAnsi="宋体" w:cs="Times New Roman"/>
          <w:color w:val="auto"/>
          <w:highlight w:val="none"/>
          <w:lang w:val="en-US" w:eastAsia="zh-CN"/>
        </w:rPr>
        <w:t>9</w:t>
      </w:r>
      <w:r>
        <w:rPr>
          <w:rFonts w:hint="default" w:ascii="宋体" w:hAnsi="宋体" w:cs="Times New Roman"/>
          <w:color w:val="auto"/>
          <w:highlight w:val="none"/>
          <w:lang w:val="en-US" w:eastAsia="zh-CN"/>
        </w:rPr>
        <w:t>座增至</w:t>
      </w:r>
      <w:r>
        <w:rPr>
          <w:rFonts w:hint="eastAsia" w:ascii="宋体" w:hAnsi="宋体" w:cs="Times New Roman"/>
          <w:color w:val="auto"/>
          <w:highlight w:val="none"/>
          <w:lang w:val="en-US" w:eastAsia="zh-CN"/>
        </w:rPr>
        <w:t>64</w:t>
      </w:r>
      <w:r>
        <w:rPr>
          <w:rFonts w:hint="default" w:ascii="宋体" w:hAnsi="宋体" w:cs="Times New Roman"/>
          <w:color w:val="auto"/>
          <w:highlight w:val="none"/>
          <w:lang w:val="en-US" w:eastAsia="zh-CN"/>
        </w:rPr>
        <w:t>座</w:t>
      </w:r>
      <w:r>
        <w:rPr>
          <w:rFonts w:hint="eastAsia" w:ascii="宋体" w:hAnsi="宋体" w:cs="Times New Roman"/>
          <w:color w:val="auto"/>
          <w:highlight w:val="none"/>
          <w:lang w:val="en-US" w:eastAsia="zh-CN"/>
        </w:rPr>
        <w:t>，</w:t>
      </w:r>
      <w:r>
        <w:rPr>
          <w:rFonts w:hint="default" w:ascii="宋体" w:hAnsi="宋体" w:cs="Times New Roman"/>
          <w:color w:val="auto"/>
          <w:highlight w:val="none"/>
          <w:lang w:val="en-US" w:eastAsia="zh-CN"/>
        </w:rPr>
        <w:t>成品油销售量提高到1</w:t>
      </w:r>
      <w:r>
        <w:rPr>
          <w:rFonts w:hint="eastAsia" w:ascii="宋体" w:hAnsi="宋体" w:cs="Times New Roman"/>
          <w:color w:val="auto"/>
          <w:highlight w:val="none"/>
          <w:lang w:val="en-US" w:eastAsia="zh-CN"/>
        </w:rPr>
        <w:t>3.2</w:t>
      </w:r>
      <w:r>
        <w:rPr>
          <w:rFonts w:hint="default" w:ascii="宋体" w:hAnsi="宋体" w:cs="Times New Roman"/>
          <w:color w:val="auto"/>
          <w:highlight w:val="none"/>
          <w:lang w:val="en-US" w:eastAsia="zh-CN"/>
        </w:rPr>
        <w:t>万吨。通过</w:t>
      </w:r>
      <w:r>
        <w:rPr>
          <w:rFonts w:hint="eastAsia" w:ascii="宋体" w:hAnsi="宋体" w:cs="Times New Roman"/>
          <w:color w:val="auto"/>
          <w:highlight w:val="none"/>
          <w:lang w:val="en-US" w:eastAsia="zh-CN"/>
        </w:rPr>
        <w:t>“十四五”成品油零售体系规划实施</w:t>
      </w:r>
      <w:r>
        <w:rPr>
          <w:rFonts w:hint="default" w:ascii="宋体" w:hAnsi="宋体" w:cs="Times New Roman"/>
          <w:color w:val="auto"/>
          <w:highlight w:val="none"/>
          <w:lang w:val="en-US" w:eastAsia="zh-CN"/>
        </w:rPr>
        <w:t>，</w:t>
      </w:r>
      <w:r>
        <w:rPr>
          <w:rFonts w:hint="eastAsia" w:ascii="宋体" w:hAnsi="宋体" w:cs="Times New Roman"/>
          <w:color w:val="auto"/>
          <w:highlight w:val="none"/>
          <w:lang w:val="en-US" w:eastAsia="zh-CN"/>
        </w:rPr>
        <w:t>可以</w:t>
      </w:r>
      <w:r>
        <w:rPr>
          <w:rFonts w:hint="default" w:ascii="宋体" w:hAnsi="宋体" w:cs="Times New Roman"/>
          <w:color w:val="auto"/>
          <w:highlight w:val="none"/>
          <w:lang w:val="en-US" w:eastAsia="zh-CN"/>
        </w:rPr>
        <w:t>满足师市各项事业和群众的生活需求。</w:t>
      </w:r>
    </w:p>
    <w:p>
      <w:pPr>
        <w:rPr>
          <w:rFonts w:hint="default" w:ascii="宋体" w:hAnsi="宋体" w:cs="Times New Roman"/>
          <w:color w:val="auto"/>
          <w:highlight w:val="none"/>
          <w:lang w:val="en-US" w:eastAsia="zh-CN"/>
        </w:rPr>
      </w:pPr>
    </w:p>
    <w:p>
      <w:pPr>
        <w:rPr>
          <w:rFonts w:hint="default" w:ascii="宋体" w:hAnsi="宋体" w:cs="Times New Roman"/>
          <w:color w:val="auto"/>
          <w:highlight w:val="none"/>
          <w:lang w:val="en-US" w:eastAsia="zh-CN"/>
        </w:rPr>
      </w:pPr>
      <w:r>
        <w:rPr>
          <w:rFonts w:hint="default" w:ascii="宋体" w:hAnsi="宋体" w:cs="Times New Roman"/>
          <w:color w:val="auto"/>
          <w:highlight w:val="none"/>
          <w:lang w:val="en-US" w:eastAsia="zh-CN"/>
        </w:rPr>
        <w:br w:type="page"/>
      </w:r>
    </w:p>
    <w:p>
      <w:pPr>
        <w:pStyle w:val="3"/>
        <w:numPr>
          <w:ilvl w:val="0"/>
          <w:numId w:val="0"/>
        </w:numPr>
        <w:bidi w:val="0"/>
        <w:ind w:left="402" w:leftChars="0"/>
        <w:jc w:val="center"/>
        <w:rPr>
          <w:rFonts w:hint="eastAsia" w:ascii="宋体" w:hAnsi="宋体" w:eastAsia="方正小标宋简体" w:cs="方正小标宋简体"/>
          <w:b w:val="0"/>
          <w:bCs/>
          <w:color w:val="auto"/>
          <w:highlight w:val="none"/>
          <w:lang w:val="en-US" w:eastAsia="zh-CN"/>
        </w:rPr>
      </w:pPr>
      <w:bookmarkStart w:id="11" w:name="_Toc15142"/>
      <w:r>
        <w:rPr>
          <w:rFonts w:hint="eastAsia" w:ascii="宋体" w:hAnsi="宋体" w:eastAsia="方正小标宋简体" w:cs="方正小标宋简体"/>
          <w:b w:val="0"/>
          <w:bCs/>
          <w:color w:val="auto"/>
          <w:highlight w:val="none"/>
          <w:lang w:val="en-US" w:eastAsia="zh-CN"/>
        </w:rPr>
        <w:t>第二章 成品油零售企业需求预测</w:t>
      </w:r>
      <w:bookmarkEnd w:id="11"/>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12" w:name="_Toc30696"/>
      <w:r>
        <w:rPr>
          <w:rFonts w:hint="eastAsia" w:ascii="宋体" w:hAnsi="宋体" w:cs="Times New Roman"/>
          <w:b w:val="0"/>
          <w:bCs w:val="0"/>
          <w:color w:val="auto"/>
          <w:highlight w:val="none"/>
          <w:lang w:val="en-US" w:eastAsia="zh-CN"/>
        </w:rPr>
        <w:t xml:space="preserve">第一节 </w:t>
      </w:r>
      <w:r>
        <w:rPr>
          <w:rFonts w:hint="default" w:ascii="宋体" w:hAnsi="宋体" w:cs="Times New Roman"/>
          <w:b w:val="0"/>
          <w:bCs w:val="0"/>
          <w:color w:val="auto"/>
          <w:highlight w:val="none"/>
          <w:lang w:val="en-US" w:eastAsia="zh-CN"/>
        </w:rPr>
        <w:t>社会经济发展趋势预测分析</w:t>
      </w:r>
      <w:bookmarkEnd w:id="12"/>
    </w:p>
    <w:p>
      <w:pPr>
        <w:bidi w:val="0"/>
        <w:rPr>
          <w:rFonts w:hint="eastAsia" w:ascii="宋体" w:hAnsi="宋体" w:eastAsia="楷体_GB2312" w:cs="楷体_GB2312"/>
          <w:b w:val="0"/>
          <w:bCs w:val="0"/>
          <w:color w:val="auto"/>
          <w:lang w:val="en-US" w:eastAsia="zh-CN"/>
        </w:rPr>
      </w:pPr>
      <w:r>
        <w:rPr>
          <w:rFonts w:hint="eastAsia" w:ascii="宋体" w:hAnsi="宋体" w:eastAsia="楷体_GB2312" w:cs="楷体_GB2312"/>
          <w:b w:val="0"/>
          <w:bCs w:val="0"/>
          <w:color w:val="auto"/>
          <w:lang w:val="en-US" w:eastAsia="zh-CN"/>
        </w:rPr>
        <w:t>一、师市经济社会发展目标</w:t>
      </w:r>
    </w:p>
    <w:p>
      <w:pPr>
        <w:bidi w:val="0"/>
        <w:rPr>
          <w:rFonts w:hint="default" w:ascii="宋体" w:hAnsi="宋体" w:cs="Times New Roman"/>
          <w:color w:val="auto"/>
          <w:highlight w:val="none"/>
        </w:rPr>
      </w:pPr>
      <w:r>
        <w:rPr>
          <w:rFonts w:hint="eastAsia" w:ascii="宋体" w:hAnsi="宋体" w:eastAsia="方正仿宋简体" w:cs="方正仿宋简体"/>
          <w:color w:val="auto"/>
          <w:lang w:eastAsia="zh-CN"/>
        </w:rPr>
        <w:t>“十四五”时期，师市经济社会发展主要目标是</w:t>
      </w:r>
      <w:r>
        <w:rPr>
          <w:rFonts w:hint="eastAsia" w:ascii="宋体" w:hAnsi="宋体" w:eastAsia="方正仿宋简体" w:cs="方正仿宋简体"/>
          <w:color w:val="auto"/>
          <w:lang w:val="en-US" w:eastAsia="zh-CN"/>
        </w:rPr>
        <w:t>完整准确贯彻新时代党的治疆方略，抓好深化兵团改革和向南发展两大重任，</w:t>
      </w:r>
      <w:r>
        <w:rPr>
          <w:rFonts w:hint="eastAsia" w:ascii="宋体" w:hAnsi="宋体" w:eastAsia="方正仿宋简体" w:cs="方正仿宋简体"/>
          <w:color w:val="auto"/>
          <w:lang w:eastAsia="zh-CN"/>
        </w:rPr>
        <w:t>锚定</w:t>
      </w:r>
      <w:r>
        <w:rPr>
          <w:rFonts w:hint="eastAsia" w:ascii="宋体" w:hAnsi="宋体" w:eastAsia="方正仿宋简体" w:cs="方正仿宋简体"/>
          <w:color w:val="auto"/>
          <w:lang w:val="en-US" w:eastAsia="zh-CN"/>
        </w:rPr>
        <w:t>2035年远景目标，</w:t>
      </w:r>
      <w:r>
        <w:rPr>
          <w:rFonts w:hint="eastAsia" w:ascii="宋体" w:hAnsi="宋体" w:eastAsia="方正仿宋简体" w:cs="方正仿宋简体"/>
          <w:color w:val="auto"/>
          <w:lang w:eastAsia="zh-CN"/>
        </w:rPr>
        <w:t>综合考虑</w:t>
      </w:r>
      <w:r>
        <w:rPr>
          <w:rFonts w:hint="eastAsia" w:ascii="宋体" w:hAnsi="宋体" w:eastAsia="方正仿宋简体" w:cs="方正仿宋简体"/>
          <w:color w:val="auto"/>
        </w:rPr>
        <w:t>师市发展基础与条件，</w:t>
      </w:r>
      <w:r>
        <w:rPr>
          <w:rFonts w:hint="eastAsia" w:ascii="宋体" w:hAnsi="宋体" w:eastAsia="方正仿宋简体" w:cs="方正仿宋简体"/>
          <w:color w:val="auto"/>
          <w:lang w:val="en-US" w:eastAsia="zh-CN"/>
        </w:rPr>
        <w:t>未来五年要全面建设社会主义现代化新师市。</w:t>
      </w:r>
      <w:r>
        <w:rPr>
          <w:rFonts w:hint="eastAsia" w:ascii="宋体" w:hAnsi="宋体" w:eastAsia="方正仿宋简体" w:cs="方正仿宋简体"/>
          <w:color w:val="auto"/>
          <w:highlight w:val="none"/>
          <w:lang w:val="en-US" w:eastAsia="zh-CN"/>
        </w:rPr>
        <w:t>预测</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十</w:t>
      </w:r>
      <w:r>
        <w:rPr>
          <w:rFonts w:hint="eastAsia" w:ascii="宋体" w:hAnsi="宋体" w:eastAsia="方正仿宋简体" w:cs="方正仿宋简体"/>
          <w:color w:val="auto"/>
          <w:highlight w:val="none"/>
          <w:lang w:val="en-US" w:eastAsia="zh-CN"/>
        </w:rPr>
        <w:t>四</w:t>
      </w:r>
      <w:r>
        <w:rPr>
          <w:rFonts w:hint="eastAsia" w:ascii="宋体" w:hAnsi="宋体" w:eastAsia="方正仿宋简体" w:cs="方正仿宋简体"/>
          <w:color w:val="auto"/>
          <w:highlight w:val="none"/>
        </w:rPr>
        <w:t>五</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时期，</w:t>
      </w:r>
      <w:r>
        <w:rPr>
          <w:rFonts w:hint="eastAsia" w:ascii="宋体" w:hAnsi="宋体" w:eastAsia="方正仿宋简体" w:cs="方正仿宋简体"/>
          <w:color w:val="auto"/>
          <w:highlight w:val="none"/>
          <w:lang w:val="en-US" w:eastAsia="zh-CN"/>
        </w:rPr>
        <w:t>师市</w:t>
      </w:r>
      <w:r>
        <w:rPr>
          <w:rFonts w:hint="eastAsia" w:ascii="宋体" w:hAnsi="宋体" w:eastAsia="方正仿宋简体" w:cs="方正仿宋简体"/>
          <w:color w:val="auto"/>
          <w:highlight w:val="none"/>
        </w:rPr>
        <w:t>生产总值</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lang w:val="en-US" w:eastAsia="zh-CN"/>
        </w:rPr>
        <w:t>GDP</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年均增长</w:t>
      </w:r>
      <w:r>
        <w:rPr>
          <w:rFonts w:hint="eastAsia" w:ascii="宋体" w:hAnsi="宋体" w:eastAsia="方正仿宋简体" w:cs="方正仿宋简体"/>
          <w:color w:val="auto"/>
          <w:highlight w:val="none"/>
          <w:lang w:val="en-US" w:eastAsia="zh-CN"/>
        </w:rPr>
        <w:t>8.5</w:t>
      </w:r>
      <w:r>
        <w:rPr>
          <w:rFonts w:hint="eastAsia" w:ascii="宋体" w:hAnsi="宋体" w:eastAsia="方正仿宋简体" w:cs="方正仿宋简体"/>
          <w:color w:val="auto"/>
          <w:highlight w:val="none"/>
        </w:rPr>
        <w:t>%左右</w:t>
      </w:r>
      <w:r>
        <w:rPr>
          <w:rFonts w:hint="eastAsia" w:ascii="宋体" w:hAnsi="宋体" w:eastAsia="方正仿宋简体" w:cs="方正仿宋简体"/>
          <w:color w:val="auto"/>
          <w:highlight w:val="none"/>
          <w:u w:val="none"/>
        </w:rPr>
        <w:t>，经济总量占自治</w:t>
      </w:r>
      <w:r>
        <w:rPr>
          <w:rFonts w:hint="eastAsia" w:ascii="宋体" w:hAnsi="宋体" w:eastAsia="方正仿宋简体" w:cs="方正仿宋简体"/>
          <w:color w:val="auto"/>
          <w:highlight w:val="none"/>
          <w:u w:val="none"/>
          <w:lang w:val="en-US" w:eastAsia="zh-CN"/>
        </w:rPr>
        <w:t>州</w:t>
      </w:r>
      <w:r>
        <w:rPr>
          <w:rFonts w:hint="eastAsia" w:ascii="宋体" w:hAnsi="宋体" w:eastAsia="方正仿宋简体" w:cs="方正仿宋简体"/>
          <w:color w:val="auto"/>
          <w:highlight w:val="none"/>
          <w:u w:val="none"/>
        </w:rPr>
        <w:t>比重进一步提升。在提</w:t>
      </w:r>
      <w:r>
        <w:rPr>
          <w:rFonts w:hint="eastAsia" w:ascii="宋体" w:hAnsi="宋体" w:eastAsia="方正仿宋简体" w:cs="方正仿宋简体"/>
          <w:color w:val="auto"/>
          <w:highlight w:val="none"/>
        </w:rPr>
        <w:t>高投资效益的基础上，全社会固定资产投资年均增长</w:t>
      </w:r>
      <w:r>
        <w:rPr>
          <w:rFonts w:hint="eastAsia" w:ascii="宋体" w:hAnsi="宋体" w:eastAsia="方正仿宋简体" w:cs="方正仿宋简体"/>
          <w:color w:val="auto"/>
          <w:highlight w:val="none"/>
          <w:lang w:val="en-US" w:eastAsia="zh-CN"/>
        </w:rPr>
        <w:t>20</w:t>
      </w:r>
      <w:r>
        <w:rPr>
          <w:rFonts w:hint="eastAsia" w:ascii="宋体" w:hAnsi="宋体" w:eastAsia="方正仿宋简体" w:cs="方正仿宋简体"/>
          <w:color w:val="auto"/>
          <w:highlight w:val="none"/>
        </w:rPr>
        <w:t>%左右。基础设施条件明显改善</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社会消费品零售总额年均增长</w:t>
      </w:r>
      <w:r>
        <w:rPr>
          <w:rFonts w:hint="eastAsia" w:ascii="宋体" w:hAnsi="宋体" w:eastAsia="方正仿宋简体" w:cs="方正仿宋简体"/>
          <w:color w:val="auto"/>
          <w:highlight w:val="none"/>
          <w:lang w:val="en-US" w:eastAsia="zh-CN"/>
        </w:rPr>
        <w:t>10</w:t>
      </w:r>
      <w:r>
        <w:rPr>
          <w:rFonts w:hint="eastAsia" w:ascii="宋体" w:hAnsi="宋体" w:eastAsia="方正仿宋简体" w:cs="方正仿宋简体"/>
          <w:color w:val="auto"/>
          <w:highlight w:val="none"/>
        </w:rPr>
        <w:t>%。城市地方财政一般预算内收入实现较大幅度增长，成为南疆城市群的重要增长极，现代化产业体系建设取得重大进展。</w:t>
      </w:r>
    </w:p>
    <w:p>
      <w:pPr>
        <w:bidi w:val="0"/>
        <w:rPr>
          <w:rFonts w:hint="default" w:ascii="宋体" w:hAnsi="宋体" w:eastAsia="楷体_GB2312" w:cs="楷体_GB2312"/>
          <w:b w:val="0"/>
          <w:bCs w:val="0"/>
          <w:color w:val="auto"/>
          <w:lang w:val="en-US" w:eastAsia="zh-CN"/>
        </w:rPr>
      </w:pPr>
      <w:r>
        <w:rPr>
          <w:rFonts w:hint="default" w:ascii="宋体" w:hAnsi="宋体" w:eastAsia="楷体_GB2312" w:cs="楷体_GB2312"/>
          <w:b w:val="0"/>
          <w:bCs w:val="0"/>
          <w:color w:val="auto"/>
          <w:lang w:val="en-US" w:eastAsia="zh-CN"/>
        </w:rPr>
        <w:t>二、经济增长对成品油的需求</w:t>
      </w:r>
    </w:p>
    <w:p>
      <w:pPr>
        <w:bidi w:val="0"/>
        <w:rPr>
          <w:rFonts w:hint="default" w:ascii="宋体" w:hAnsi="宋体" w:eastAsia="方正仿宋简体" w:cs="方正仿宋简体"/>
          <w:color w:val="auto"/>
          <w:lang w:val="en-US" w:eastAsia="zh-CN"/>
        </w:rPr>
      </w:pPr>
      <w:r>
        <w:rPr>
          <w:rFonts w:hint="default" w:ascii="宋体" w:hAnsi="宋体" w:eastAsia="方正仿宋简体" w:cs="方正仿宋简体"/>
          <w:color w:val="auto"/>
          <w:lang w:eastAsia="zh-CN"/>
        </w:rPr>
        <w:t>成品油是目前师市主要生产要素资源之一，成品油需求随着经济增长而增加。增长</w:t>
      </w:r>
      <w:r>
        <w:rPr>
          <w:rFonts w:hint="eastAsia" w:ascii="宋体" w:hAnsi="宋体" w:eastAsia="方正仿宋简体" w:cs="方正仿宋简体"/>
          <w:color w:val="auto"/>
          <w:lang w:eastAsia="zh-CN"/>
        </w:rPr>
        <w:t>速度</w:t>
      </w:r>
      <w:r>
        <w:rPr>
          <w:rFonts w:hint="default" w:ascii="宋体" w:hAnsi="宋体" w:eastAsia="方正仿宋简体" w:cs="方正仿宋简体"/>
          <w:color w:val="auto"/>
          <w:lang w:eastAsia="zh-CN"/>
        </w:rPr>
        <w:t>与兵团生产总值之间有一定的弹性系数，</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十三五</w:t>
      </w:r>
      <w:r>
        <w:rPr>
          <w:rFonts w:hint="eastAsia" w:ascii="宋体" w:hAnsi="宋体" w:eastAsia="方正仿宋简体" w:cs="方正仿宋简体"/>
          <w:color w:val="auto"/>
          <w:lang w:val="en-US" w:eastAsia="zh-CN"/>
        </w:rPr>
        <w:t>”</w:t>
      </w:r>
      <w:r>
        <w:rPr>
          <w:rFonts w:hint="default" w:ascii="宋体" w:hAnsi="宋体" w:eastAsia="方正仿宋简体" w:cs="方正仿宋简体"/>
          <w:color w:val="auto"/>
          <w:lang w:val="en-US" w:eastAsia="zh-CN"/>
        </w:rPr>
        <w:t>期间，师市成品油销售量年均增长率为</w:t>
      </w:r>
      <w:r>
        <w:rPr>
          <w:rFonts w:hint="eastAsia" w:ascii="宋体" w:hAnsi="宋体" w:eastAsia="方正仿宋简体" w:cs="方正仿宋简体"/>
          <w:color w:val="auto"/>
          <w:lang w:val="en-US" w:eastAsia="zh-CN"/>
        </w:rPr>
        <w:t>5</w:t>
      </w:r>
      <w:r>
        <w:rPr>
          <w:rFonts w:hint="default" w:ascii="宋体" w:hAnsi="宋体" w:eastAsia="方正仿宋简体" w:cs="方正仿宋简体"/>
          <w:color w:val="auto"/>
          <w:lang w:val="en-US" w:eastAsia="zh-CN"/>
        </w:rPr>
        <w:t>%，与生产总值增长速度接近。随着经济水平的发展和</w:t>
      </w:r>
      <w:r>
        <w:rPr>
          <w:rFonts w:hint="eastAsia" w:ascii="宋体" w:hAnsi="宋体" w:eastAsia="方正仿宋简体" w:cs="方正仿宋简体"/>
          <w:color w:val="auto"/>
          <w:lang w:val="en-US" w:eastAsia="zh-CN"/>
        </w:rPr>
        <w:t>新型城镇建设</w:t>
      </w:r>
      <w:r>
        <w:rPr>
          <w:rFonts w:hint="default" w:ascii="宋体" w:hAnsi="宋体" w:eastAsia="方正仿宋简体" w:cs="方正仿宋简体"/>
          <w:color w:val="auto"/>
          <w:lang w:val="en-US" w:eastAsia="zh-CN"/>
        </w:rPr>
        <w:t>的进一步提高，成品油需求量将高于现水平增长，虽然新能源快速发展，但作为传统车用能源，成品油仍将保持持续增长。</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13" w:name="_Toc10272"/>
      <w:r>
        <w:rPr>
          <w:rFonts w:hint="eastAsia" w:ascii="宋体" w:hAnsi="宋体" w:cs="Times New Roman"/>
          <w:b w:val="0"/>
          <w:bCs w:val="0"/>
          <w:color w:val="auto"/>
          <w:highlight w:val="none"/>
          <w:lang w:val="en-US" w:eastAsia="zh-CN"/>
        </w:rPr>
        <w:t xml:space="preserve">第二节 </w:t>
      </w:r>
      <w:r>
        <w:rPr>
          <w:rFonts w:hint="default" w:ascii="宋体" w:hAnsi="宋体" w:cs="Times New Roman"/>
          <w:b w:val="0"/>
          <w:bCs w:val="0"/>
          <w:color w:val="auto"/>
          <w:highlight w:val="none"/>
          <w:lang w:val="en-US" w:eastAsia="zh-CN"/>
        </w:rPr>
        <w:t>道路交通发展规划</w:t>
      </w:r>
      <w:bookmarkEnd w:id="13"/>
    </w:p>
    <w:p>
      <w:pPr>
        <w:bidi w:val="0"/>
        <w:rPr>
          <w:rFonts w:hint="eastAsia" w:ascii="宋体" w:hAnsi="宋体" w:eastAsia="楷体_GB2312" w:cs="楷体_GB2312"/>
          <w:b w:val="0"/>
          <w:bCs w:val="0"/>
          <w:color w:val="auto"/>
          <w:highlight w:val="none"/>
          <w:lang w:val="en-US" w:eastAsia="zh-CN"/>
        </w:rPr>
      </w:pPr>
      <w:r>
        <w:rPr>
          <w:rFonts w:hint="eastAsia" w:ascii="宋体" w:hAnsi="宋体" w:eastAsia="楷体_GB2312" w:cs="楷体_GB2312"/>
          <w:b w:val="0"/>
          <w:bCs w:val="0"/>
          <w:color w:val="auto"/>
          <w:highlight w:val="none"/>
          <w:lang w:val="en-US" w:eastAsia="zh-CN"/>
        </w:rPr>
        <w:t>一、基础设施布局方案</w:t>
      </w:r>
    </w:p>
    <w:p>
      <w:pPr>
        <w:bidi w:val="0"/>
        <w:rPr>
          <w:rFonts w:hint="default" w:ascii="宋体" w:hAnsi="宋体" w:cs="Times New Roman"/>
          <w:color w:val="auto"/>
          <w:highlight w:val="none"/>
          <w:lang w:val="en-US" w:eastAsia="zh-CN"/>
        </w:rPr>
      </w:pPr>
      <w:r>
        <w:rPr>
          <w:rFonts w:hint="eastAsia" w:ascii="宋体" w:hAnsi="宋体" w:eastAsia="方正仿宋简体" w:cs="方正仿宋简体"/>
          <w:color w:val="auto"/>
          <w:highlight w:val="none"/>
          <w:lang w:val="en-US" w:eastAsia="zh-CN"/>
        </w:rPr>
        <w:t>根据师市区位特征及全疆城镇体系规划等相关要求，师市形成“两横一纵四联”的对外通道总体格局，师市对外通道布局方案如下：</w:t>
      </w:r>
    </w:p>
    <w:p>
      <w:pPr>
        <w:bidi w:val="0"/>
        <w:rPr>
          <w:rFonts w:hint="default"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（一）“</w:t>
      </w:r>
      <w:r>
        <w:rPr>
          <w:rFonts w:hint="default" w:ascii="宋体" w:hAnsi="宋体" w:eastAsia="方正仿宋简体" w:cs="方正仿宋简体"/>
          <w:b/>
          <w:bCs/>
          <w:color w:val="auto"/>
          <w:highlight w:val="none"/>
          <w:lang w:val="en-US" w:eastAsia="zh-CN"/>
        </w:rPr>
        <w:t>两横</w:t>
      </w:r>
      <w:r>
        <w:rPr>
          <w:rFonts w:hint="eastAsia" w:ascii="宋体" w:hAnsi="宋体" w:eastAsia="方正仿宋简体" w:cs="方正仿宋简体"/>
          <w:b/>
          <w:bCs/>
          <w:color w:val="auto"/>
          <w:highlight w:val="none"/>
          <w:lang w:val="en-US" w:eastAsia="zh-CN"/>
        </w:rPr>
        <w:t>”</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横一：阿克苏—铁门关市（库尔勒）—吐鲁番通道</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该通道是横贯南疆地区的综合运输大通道，目前是师市最主要的对外运输通道，也是天山南</w:t>
      </w:r>
      <w:r>
        <w:rPr>
          <w:rFonts w:hint="eastAsia" w:ascii="宋体" w:hAnsi="宋体" w:eastAsia="方正仿宋简体" w:cs="方正仿宋简体"/>
          <w:color w:val="auto"/>
          <w:highlight w:val="none"/>
          <w:lang w:val="en-US" w:eastAsia="zh-CN"/>
        </w:rPr>
        <w:t>坡</w:t>
      </w:r>
      <w:r>
        <w:rPr>
          <w:rFonts w:hint="default" w:ascii="宋体" w:hAnsi="宋体" w:eastAsia="方正仿宋简体" w:cs="方正仿宋简体"/>
          <w:color w:val="auto"/>
          <w:highlight w:val="none"/>
          <w:lang w:val="en-US" w:eastAsia="zh-CN"/>
        </w:rPr>
        <w:t>经济带重要的能源物流通道，向西可延伸至喀什、阿图什等自治区南疆重要城市，并经过红其拉甫口岸、别迭里口岸等边境口岸与巴基斯坦、吉尔吉斯斯坦等中西亚国家相连，向东经星星峡通往京津冀等内地省份。该通道是</w:t>
      </w:r>
      <w:r>
        <w:rPr>
          <w:rFonts w:hint="eastAsia" w:ascii="宋体" w:hAnsi="宋体" w:eastAsia="方正仿宋简体" w:cs="方正仿宋简体"/>
          <w:color w:val="auto"/>
          <w:highlight w:val="none"/>
          <w:lang w:val="en-US" w:eastAsia="zh-CN"/>
        </w:rPr>
        <w:t>中巴</w:t>
      </w:r>
      <w:r>
        <w:rPr>
          <w:rFonts w:hint="default" w:ascii="宋体" w:hAnsi="宋体" w:eastAsia="方正仿宋简体" w:cs="方正仿宋简体"/>
          <w:color w:val="auto"/>
          <w:highlight w:val="none"/>
          <w:lang w:val="en-US" w:eastAsia="zh-CN"/>
        </w:rPr>
        <w:t>经济走廊的重要组成部分，贯穿南疆自治区主要城镇和经济区，同时也是</w:t>
      </w:r>
      <w:r>
        <w:rPr>
          <w:rFonts w:hint="eastAsia" w:ascii="宋体" w:hAnsi="宋体" w:eastAsia="方正仿宋简体" w:cs="方正仿宋简体"/>
          <w:color w:val="auto"/>
          <w:highlight w:val="none"/>
          <w:lang w:val="en-US" w:eastAsia="zh-CN"/>
        </w:rPr>
        <w:t>师市</w:t>
      </w:r>
      <w:r>
        <w:rPr>
          <w:rFonts w:hint="default" w:ascii="宋体" w:hAnsi="宋体" w:eastAsia="方正仿宋简体" w:cs="方正仿宋简体"/>
          <w:color w:val="auto"/>
          <w:highlight w:val="none"/>
          <w:lang w:val="en-US" w:eastAsia="zh-CN"/>
        </w:rPr>
        <w:t>产业、城镇、人口集聚的发展主轴，连接了库尔勒垦区和焉耆垦区，沿线人口、产业密集，长短途客货运输混杂，运输需求规模大且构成复杂。</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布局路线包括喀什—吐鲁番国家高速公路（G3012）/铁门关至阿拉尔高速公路、国道314线、库尔勒至铁门关城际大道、铁门关至和硕段、南疆铁路、乌鲁木齐至喀什高速铁路等。</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横二：喀什—和田—</w:t>
      </w:r>
      <w:r>
        <w:rPr>
          <w:rFonts w:hint="eastAsia" w:ascii="宋体" w:hAnsi="宋体" w:eastAsia="方正仿宋简体" w:cs="方正仿宋简体"/>
          <w:b/>
          <w:bCs/>
          <w:color w:val="auto"/>
          <w:highlight w:val="none"/>
          <w:lang w:val="en-US" w:eastAsia="zh-CN"/>
        </w:rPr>
        <w:t>且若</w:t>
      </w:r>
      <w:r>
        <w:rPr>
          <w:rFonts w:hint="default" w:ascii="宋体" w:hAnsi="宋体" w:eastAsia="方正仿宋简体" w:cs="方正仿宋简体"/>
          <w:b/>
          <w:bCs/>
          <w:color w:val="auto"/>
          <w:highlight w:val="none"/>
          <w:lang w:val="en-US" w:eastAsia="zh-CN"/>
        </w:rPr>
        <w:t>垦区—青海通道</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该通道是横贯南疆地区的又一综合运输大通道，师市</w:t>
      </w:r>
      <w:r>
        <w:rPr>
          <w:rFonts w:hint="eastAsia" w:ascii="宋体" w:hAnsi="宋体" w:eastAsia="方正仿宋简体" w:cs="方正仿宋简体"/>
          <w:color w:val="auto"/>
          <w:highlight w:val="none"/>
          <w:lang w:val="en-US" w:eastAsia="zh-CN"/>
        </w:rPr>
        <w:t>且若</w:t>
      </w:r>
      <w:r>
        <w:rPr>
          <w:rFonts w:hint="default" w:ascii="宋体" w:hAnsi="宋体" w:eastAsia="方正仿宋简体" w:cs="方正仿宋简体"/>
          <w:color w:val="auto"/>
          <w:highlight w:val="none"/>
          <w:lang w:val="en-US" w:eastAsia="zh-CN"/>
        </w:rPr>
        <w:t>垦区最主要的对外运输通道，沟通和田地区、喀什地区与第十四师，祖国内地和吉尔吉斯斯坦、乌兹别克斯坦等中西亚国家。该通道是南疆地区历史最悠久的传统交通走廊，同时也是目前长三角、粤港澳大湾区等沿海、内地区域通过青海进入新疆的国家级重要通道。</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布局路线包括喀什至和田国家高速公路（G3012）、和田至青海格尔木国家高速公路（G0612）、国道315线、喀和铁路、和若铁路和格库铁路。</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（二）</w:t>
      </w:r>
      <w:r>
        <w:rPr>
          <w:rFonts w:hint="eastAsia" w:ascii="宋体" w:hAnsi="宋体" w:eastAsia="方正仿宋简体" w:cs="方正仿宋简体"/>
          <w:b/>
          <w:bCs/>
          <w:color w:val="auto"/>
          <w:highlight w:val="none"/>
          <w:lang w:val="en-US" w:eastAsia="zh-CN"/>
        </w:rPr>
        <w:t>“</w:t>
      </w:r>
      <w:r>
        <w:rPr>
          <w:rFonts w:hint="default" w:ascii="宋体" w:hAnsi="宋体" w:eastAsia="方正仿宋简体" w:cs="方正仿宋简体"/>
          <w:b/>
          <w:bCs/>
          <w:color w:val="auto"/>
          <w:highlight w:val="none"/>
          <w:lang w:val="en-US" w:eastAsia="zh-CN"/>
        </w:rPr>
        <w:t>一纵</w:t>
      </w:r>
      <w:r>
        <w:rPr>
          <w:rFonts w:hint="eastAsia" w:ascii="宋体" w:hAnsi="宋体" w:eastAsia="方正仿宋简体" w:cs="方正仿宋简体"/>
          <w:b/>
          <w:bCs/>
          <w:color w:val="auto"/>
          <w:highlight w:val="none"/>
          <w:lang w:val="en-US" w:eastAsia="zh-CN"/>
        </w:rPr>
        <w:t>”</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纵一：乌鲁木齐—铁门关</w:t>
      </w:r>
      <w:r>
        <w:rPr>
          <w:rFonts w:hint="eastAsia" w:ascii="宋体" w:hAnsi="宋体" w:eastAsia="方正仿宋简体" w:cs="方正仿宋简体"/>
          <w:b/>
          <w:bCs/>
          <w:color w:val="auto"/>
          <w:highlight w:val="none"/>
          <w:lang w:val="en-US" w:eastAsia="zh-CN"/>
        </w:rPr>
        <w:t>市</w:t>
      </w:r>
      <w:r>
        <w:rPr>
          <w:rFonts w:hint="default" w:ascii="宋体" w:hAnsi="宋体" w:eastAsia="方正仿宋简体" w:cs="方正仿宋简体"/>
          <w:b/>
          <w:bCs/>
          <w:color w:val="auto"/>
          <w:highlight w:val="none"/>
          <w:lang w:val="en-US" w:eastAsia="zh-CN"/>
        </w:rPr>
        <w:t>（库尔勒）—36团（若羌）通道。</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该通道是沟通南北疆的战略通道，是铁门关市及库尔勒市向北连接焉耆垦区、北疆师市及首府乌鲁木齐市，向西北连接伊宁、第四师可克达拉市，并经霍尔果斯与哈萨克斯坦、中西亚地区、欧洲等国家相连，向南连接塔里木垦区、若且垦区的重要通道，同时也是目前</w:t>
      </w:r>
      <w:r>
        <w:rPr>
          <w:rFonts w:hint="eastAsia" w:ascii="宋体" w:hAnsi="宋体" w:eastAsia="方正仿宋简体" w:cs="方正仿宋简体"/>
          <w:color w:val="auto"/>
          <w:highlight w:val="none"/>
          <w:lang w:val="en-US" w:eastAsia="zh-CN"/>
        </w:rPr>
        <w:t>东部</w:t>
      </w:r>
      <w:r>
        <w:rPr>
          <w:rFonts w:hint="default" w:ascii="宋体" w:hAnsi="宋体" w:eastAsia="方正仿宋简体" w:cs="方正仿宋简体"/>
          <w:color w:val="auto"/>
          <w:highlight w:val="none"/>
          <w:lang w:val="en-US" w:eastAsia="zh-CN"/>
        </w:rPr>
        <w:t>、内地区域通过青海进入新疆后通往北疆的国家级重要通道。该通道对于塔里木河流域石油等矿产资源、旅游资源开发，以及塔里木河、台特玛湖流域治理及生态林保护具有积极意义。</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布局路线包括乌鲁木齐至若羌国家高速公路（G0711）、国道216线、国道218线、格库铁路、南疆铁路吐鲁番至库尔勒段。</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（三）</w:t>
      </w:r>
      <w:r>
        <w:rPr>
          <w:rFonts w:hint="eastAsia" w:ascii="宋体" w:hAnsi="宋体" w:eastAsia="方正仿宋简体" w:cs="方正仿宋简体"/>
          <w:b/>
          <w:bCs/>
          <w:color w:val="auto"/>
          <w:highlight w:val="none"/>
          <w:lang w:val="en-US" w:eastAsia="zh-CN"/>
        </w:rPr>
        <w:t>“</w:t>
      </w:r>
      <w:r>
        <w:rPr>
          <w:rFonts w:hint="default" w:ascii="宋体" w:hAnsi="宋体" w:eastAsia="方正仿宋简体" w:cs="方正仿宋简体"/>
          <w:b/>
          <w:bCs/>
          <w:color w:val="auto"/>
          <w:highlight w:val="none"/>
          <w:lang w:val="en-US" w:eastAsia="zh-CN"/>
        </w:rPr>
        <w:t>四联</w:t>
      </w:r>
      <w:r>
        <w:rPr>
          <w:rFonts w:hint="eastAsia" w:ascii="宋体" w:hAnsi="宋体" w:eastAsia="方正仿宋简体" w:cs="方正仿宋简体"/>
          <w:b/>
          <w:bCs/>
          <w:color w:val="auto"/>
          <w:highlight w:val="none"/>
          <w:lang w:val="en-US" w:eastAsia="zh-CN"/>
        </w:rPr>
        <w:t>”</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联一：轮南镇—铁门关市—塔里木垦区—敦煌通道</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该通道是南疆地区东西向辅助通道，向西连接第三师图木舒克市、第一师阿拉尔市、第二师铁门关市等多个兵团城市，同时沟通连接了轮台镇、尉犁县等多个自治区重要经济节点，在库尔勒—阿克苏—喀什通道南侧形成一条基本平行的替代通道，进一步增强南疆东西向通道的可靠性，增强第二师铁门关市作为兵团向南发展的重要依托城市地位，保障新疆经济发展和社会稳定。该通道向西南可继续延伸至莎车县、红其拉甫口岸，作为中巴经济走廊带的有益补充。同时，该通道覆盖了第三师图木舒克市、第一师阿拉尔市、第二师铁门关市等兵团南疆一批旅游景点和旅游精品路线，实现了对罗布泊钾盐矿等一批自治区及兵团矿产资源开发区的覆盖，覆盖了中国最大内流河塔里木河生态旅游经济发展带，对带动南疆兵团的经济和社会发展具有重要的作用。</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布局路线包括轮南经尉犁至34团公路、34团经罗布泊至敦煌公路。</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联二：铁门关市—塔中—38团（南屯镇）通道</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该通道是铁门关市连接</w:t>
      </w:r>
      <w:r>
        <w:rPr>
          <w:rFonts w:hint="eastAsia" w:ascii="宋体" w:hAnsi="宋体" w:eastAsia="方正仿宋简体" w:cs="方正仿宋简体"/>
          <w:color w:val="auto"/>
          <w:highlight w:val="none"/>
          <w:lang w:val="en-US" w:eastAsia="zh-CN"/>
        </w:rPr>
        <w:t>且若</w:t>
      </w:r>
      <w:r>
        <w:rPr>
          <w:rFonts w:hint="default" w:ascii="宋体" w:hAnsi="宋体" w:eastAsia="方正仿宋简体" w:cs="方正仿宋简体"/>
          <w:color w:val="auto"/>
          <w:highlight w:val="none"/>
          <w:lang w:val="en-US" w:eastAsia="zh-CN"/>
        </w:rPr>
        <w:t>垦区的重要通道，向南沿着国道216线可继续延伸至西藏地区。同时，由于塔里木油田位于塔中，轮南是国家西气东输的起点，该通道也是塔里木油田等沿线矿产、旅游等资源开发的主要通道。该通道的建设将极大地改善铁门关市与兵团南疆重要支点38团（南屯镇）的交通条件，使铁门关市到38团的距离大大缩短，对于环塔地区的开放开发，改善38团（南屯镇）区位优势，促进沿线资源开发具有重要的意义。</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布局路线包括铁门关至塔中（拉音苏）公路、国道216线、38团至塔中公路、塔中至且末岔口公路。</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联三：铁门关市—尉犁县—37团通道</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该通道是铁门关市连接</w:t>
      </w:r>
      <w:r>
        <w:rPr>
          <w:rFonts w:hint="eastAsia" w:ascii="宋体" w:hAnsi="宋体" w:eastAsia="方正仿宋简体" w:cs="方正仿宋简体"/>
          <w:color w:val="auto"/>
          <w:highlight w:val="none"/>
          <w:lang w:val="en-US" w:eastAsia="zh-CN"/>
        </w:rPr>
        <w:t>且若</w:t>
      </w:r>
      <w:r>
        <w:rPr>
          <w:rFonts w:hint="default" w:ascii="宋体" w:hAnsi="宋体" w:eastAsia="方正仿宋简体" w:cs="方正仿宋简体"/>
          <w:color w:val="auto"/>
          <w:highlight w:val="none"/>
          <w:lang w:val="en-US" w:eastAsia="zh-CN"/>
        </w:rPr>
        <w:t>垦区的另一重要通道，也是铁门关市与尉犁县一体化发展重要经济廊道。该通道的建设将有力促进</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铁门关—库尔勒—尉犁</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一体化发展格局的形成，极大地改善铁门关市与37团及兵团南疆重要支点38团的交通条件，使铁门关市到37团、38团的距离大大缩短，对于环塔地区的开放开发，改善37团区位优势，促进沿线土地开发利用具有重要的意义。</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布局路线包括铁门关至尉犁公路、尉犁至且末沙漠公路。</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联四：塔里木垦区—库米什通道</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该通道是南疆地区南北向辅助通道。该通道的建设将进一步完善路网布局，提高路网可靠性。该路段建设将极大地改善南疆地区与乌鲁木齐之间的交通条件，使36团（若羌）、塔里木垦区到乌鲁木齐的距离缩短了240公里，东南沿海、内地通往乌鲁木齐及北疆地区更加便捷，对于壮大兵团力量、推动兵团向南发展，改善塔里木垦区区位优势，促进沿线资源开发具有十分重要的意义。布局路线包括34团至库米什公路。</w:t>
      </w:r>
    </w:p>
    <w:p>
      <w:pPr>
        <w:bidi w:val="0"/>
        <w:rPr>
          <w:rFonts w:hint="eastAsia" w:ascii="宋体" w:hAnsi="宋体" w:eastAsia="楷体_GB2312" w:cs="楷体_GB2312"/>
          <w:color w:val="auto"/>
          <w:highlight w:val="none"/>
          <w:lang w:val="en-US" w:eastAsia="zh-CN"/>
        </w:rPr>
      </w:pPr>
      <w:r>
        <w:rPr>
          <w:rFonts w:hint="eastAsia" w:ascii="宋体" w:hAnsi="宋体" w:eastAsia="楷体_GB2312" w:cs="楷体_GB2312"/>
          <w:color w:val="auto"/>
          <w:highlight w:val="none"/>
          <w:lang w:val="en-US" w:eastAsia="zh-CN"/>
        </w:rPr>
        <w:t>二、客运网络规划</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（一）三级公共客运网络</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1</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师市客运网络</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主要服务</w:t>
      </w:r>
      <w:r>
        <w:rPr>
          <w:rFonts w:hint="eastAsia" w:ascii="宋体" w:hAnsi="宋体" w:eastAsia="方正仿宋简体" w:cs="方正仿宋简体"/>
          <w:color w:val="auto"/>
          <w:highlight w:val="none"/>
          <w:lang w:val="en-US" w:eastAsia="zh-CN"/>
        </w:rPr>
        <w:t>于</w:t>
      </w:r>
      <w:r>
        <w:rPr>
          <w:rFonts w:hint="default" w:ascii="宋体" w:hAnsi="宋体" w:eastAsia="方正仿宋简体" w:cs="方正仿宋简体"/>
          <w:color w:val="auto"/>
          <w:highlight w:val="none"/>
          <w:lang w:val="en-US" w:eastAsia="zh-CN"/>
        </w:rPr>
        <w:t>跨师市、跨地区和跨垦区长途客运。主要包括以下内容：</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城际快速客运服务网络。基于商务、旅游及城际通勤的需要，规划发展由民航网络和城际铁路构成的城际快速高端客运服务网络。民航客运方面，依托库尔勒等机场及未来开通的支线机场，开通至国内其他城市及疆内重要城市的航线，服务于各类高端商务、旅游、探亲和紧急出行等，并同步做好民航旅客与城市旅客、公路旅客的运输衔接问题。通过快速干线的连接，扩大民航服务半径，便捷职工出行。城际铁路客运方面，依托未来开通的吐鲁番至喀什客运专线</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促进铁门关市与库尔勒市协同发展，并融入全疆城际客运铁路网络，发展覆盖地区内外及周边200</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500公里的快速铁路客运服务；争取将库尔勒</w:t>
      </w:r>
      <w:r>
        <w:rPr>
          <w:rFonts w:hint="eastAsia" w:ascii="宋体" w:hAnsi="宋体" w:eastAsia="方正仿宋简体" w:cs="方正仿宋简体"/>
          <w:color w:val="auto"/>
          <w:highlight w:val="none"/>
          <w:lang w:val="en-US" w:eastAsia="zh-CN"/>
        </w:rPr>
        <w:t>火车站</w:t>
      </w:r>
      <w:r>
        <w:rPr>
          <w:rFonts w:hint="default" w:ascii="宋体" w:hAnsi="宋体" w:eastAsia="方正仿宋简体" w:cs="方正仿宋简体"/>
          <w:color w:val="auto"/>
          <w:highlight w:val="none"/>
          <w:lang w:val="en-US" w:eastAsia="zh-CN"/>
        </w:rPr>
        <w:t>与库尔勒机场无缝衔接，并围绕铁门关</w:t>
      </w:r>
      <w:r>
        <w:rPr>
          <w:rFonts w:hint="eastAsia" w:ascii="宋体" w:hAnsi="宋体" w:eastAsia="方正仿宋简体" w:cs="方正仿宋简体"/>
          <w:color w:val="auto"/>
          <w:highlight w:val="none"/>
          <w:lang w:val="en-US" w:eastAsia="zh-CN"/>
        </w:rPr>
        <w:t>市区</w:t>
      </w:r>
      <w:r>
        <w:rPr>
          <w:rFonts w:hint="default" w:ascii="宋体" w:hAnsi="宋体" w:eastAsia="方正仿宋简体" w:cs="方正仿宋简体"/>
          <w:color w:val="auto"/>
          <w:highlight w:val="none"/>
          <w:lang w:val="en-US" w:eastAsia="zh-CN"/>
        </w:rPr>
        <w:t>推进公交、出租、社会车辆等多方式的综合客运枢纽建设，做好不同运输方式之间旅客换乘的衔接工作。</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城际道路客运网络。发挥道路运输比较优势，依托高速公路和区域干线路网，巩固和强化各垦区至铁门关市、库尔勒市及各垦区与周边各县市的道路客运联系。开通铁门关市与库尔勒市的直通道路客运班线，在库尔勒垦区与焉耆垦区、塔里木垦区之间开行</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公交化</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班次。</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2</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垦区内部客运网络</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围绕着垦区内部</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1小时交通圈</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完善各垦区客运网络，主要服务于垦区内日常通勤及旅游需要。突出公交优先发展战略，提倡绿色出行方式，为居民提供便捷的出行条件。重视公交枢纽与场站布局规划的重要性，加大政府引导，促进枢纽站场与仓储物流、邮政快递、社区商业融合发展。</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3</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团</w:t>
      </w:r>
      <w:r>
        <w:rPr>
          <w:rFonts w:hint="eastAsia" w:ascii="宋体" w:hAnsi="宋体" w:eastAsia="方正仿宋简体" w:cs="方正仿宋简体"/>
          <w:color w:val="auto"/>
          <w:highlight w:val="none"/>
          <w:lang w:val="en-US" w:eastAsia="zh-CN"/>
        </w:rPr>
        <w:t>（镇）</w:t>
      </w:r>
      <w:r>
        <w:rPr>
          <w:rFonts w:hint="default" w:ascii="宋体" w:hAnsi="宋体" w:eastAsia="方正仿宋简体" w:cs="方正仿宋简体"/>
          <w:color w:val="auto"/>
          <w:highlight w:val="none"/>
          <w:lang w:val="en-US" w:eastAsia="zh-CN"/>
        </w:rPr>
        <w:t>内客运网络</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规划构建</w:t>
      </w:r>
      <w:r>
        <w:rPr>
          <w:rFonts w:hint="eastAsia" w:ascii="宋体" w:hAnsi="宋体" w:eastAsia="方正仿宋简体" w:cs="方正仿宋简体"/>
          <w:color w:val="auto"/>
          <w:highlight w:val="none"/>
          <w:lang w:val="en-US" w:eastAsia="zh-CN"/>
        </w:rPr>
        <w:t>师市团（镇）</w:t>
      </w:r>
      <w:r>
        <w:rPr>
          <w:rFonts w:hint="default" w:ascii="宋体" w:hAnsi="宋体" w:eastAsia="方正仿宋简体" w:cs="方正仿宋简体"/>
          <w:color w:val="auto"/>
          <w:highlight w:val="none"/>
          <w:lang w:val="en-US" w:eastAsia="zh-CN"/>
        </w:rPr>
        <w:t>客运线网，主要是强化城乡一体化公共客运交通发展建设，进一步缩小城乡交通二元结构，促进城市化进程加速。以团</w:t>
      </w:r>
      <w:r>
        <w:rPr>
          <w:rFonts w:hint="eastAsia" w:ascii="宋体" w:hAnsi="宋体" w:eastAsia="方正仿宋简体" w:cs="方正仿宋简体"/>
          <w:color w:val="auto"/>
          <w:highlight w:val="none"/>
          <w:lang w:val="en-US" w:eastAsia="zh-CN"/>
        </w:rPr>
        <w:t>（镇）</w:t>
      </w:r>
      <w:r>
        <w:rPr>
          <w:rFonts w:hint="default" w:ascii="宋体" w:hAnsi="宋体" w:eastAsia="方正仿宋简体" w:cs="方正仿宋简体"/>
          <w:color w:val="auto"/>
          <w:highlight w:val="none"/>
          <w:lang w:val="en-US" w:eastAsia="zh-CN"/>
        </w:rPr>
        <w:t>的中心客运站为龙头，衔接各连队招呼站和停靠点。结合团场职工</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候鸟特征</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及乡村旅游交通需求，鼓励和引导多元化客运出行方式，根据客运时效和季节特点，开通循环班线、不定时班次等。</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（二）旅游专项客运网络</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1</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建立旅游服务中心</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可在中心城区依托公交首末车站、长途汽车客运站、综合客运枢纽站设立旅游服务中心，加强旅游交通智能化、信息化建设和服务质量体系建设，给游客提供最佳的旅游交通氛围。</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2</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建立景区旅游客运线路</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开辟</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塔里木沙漠游</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塔河胡杨游</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和</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西游文化游</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等旅游客运专线，积极发展旅游包车服务；建立自驾游客运服务保障体系。</w:t>
      </w:r>
    </w:p>
    <w:p>
      <w:pPr>
        <w:bidi w:val="0"/>
        <w:rPr>
          <w:rFonts w:hint="eastAsia" w:ascii="宋体" w:hAnsi="宋体" w:eastAsia="楷体_GB2312" w:cs="楷体_GB2312"/>
          <w:color w:val="auto"/>
          <w:highlight w:val="none"/>
          <w:lang w:val="en-US" w:eastAsia="zh-CN"/>
        </w:rPr>
      </w:pPr>
      <w:r>
        <w:rPr>
          <w:rFonts w:hint="eastAsia" w:ascii="宋体" w:hAnsi="宋体" w:eastAsia="楷体_GB2312" w:cs="楷体_GB2312"/>
          <w:color w:val="auto"/>
          <w:highlight w:val="none"/>
          <w:lang w:val="en-US" w:eastAsia="zh-CN"/>
        </w:rPr>
        <w:t>三、交通运输需求预测</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十三五</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期间，全年公路客运量同比下降55.7%，旅客周转量同比下降42.9%，货运量同比下降2.8%，货物周转量同比下降5.5%，其中公路客运量和旅客周转量增速下滑较大。随着</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十四五</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期间综合交通运输体系的建设，势必带来持续旺盛的客运尤其是货物运输需求，采用趋势外推法和弹性系数法综合预测</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预测到2025年公路客运量将达到1216万人</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年增长率为10.25%；货运量将达到9422.17万吨</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年增长率为14.45%</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公路旅客周转量将达到8.45亿人公里</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年增长率为10.50%</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公路货物周转量将达到60.38亿吨公里</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年增长率为15.95%。</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14" w:name="_Toc6829"/>
      <w:r>
        <w:rPr>
          <w:rFonts w:hint="eastAsia" w:ascii="宋体" w:hAnsi="宋体" w:cs="Times New Roman"/>
          <w:b w:val="0"/>
          <w:bCs w:val="0"/>
          <w:color w:val="auto"/>
          <w:highlight w:val="none"/>
          <w:lang w:val="en-US" w:eastAsia="zh-CN"/>
        </w:rPr>
        <w:t xml:space="preserve">第三节 </w:t>
      </w:r>
      <w:r>
        <w:rPr>
          <w:rFonts w:hint="default" w:ascii="宋体" w:hAnsi="宋体" w:cs="Times New Roman"/>
          <w:b w:val="0"/>
          <w:bCs w:val="0"/>
          <w:color w:val="auto"/>
          <w:highlight w:val="none"/>
          <w:lang w:val="en-US" w:eastAsia="zh-CN"/>
        </w:rPr>
        <w:t>机动车保有量发展趋势预测分析</w:t>
      </w:r>
      <w:bookmarkEnd w:id="14"/>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机动车保有量的增长与人口、人均收入水平、社会经济发展水平、交通条件等密切相关，并遵循从高速到低速、逐渐趋于缓和的规律。主要影响因素包括：城市经济发展水平（GDP总量）、人均GDP和人均收入水平、机动车使用成本（燃油价格和停车费用、通行费等）、三次产业发展状况等因素。本规划采用模型定量计算与定性分析（横向类比）相结合的综合方法，对可以量化的经济因素，采用数学模型进行预测，而对空间、政策等因素，采用类比分析的方法，最后通过综合分析，确定规划期内师市机动化发展规模。</w:t>
      </w:r>
    </w:p>
    <w:p>
      <w:pPr>
        <w:pageBreakBefore w:val="0"/>
        <w:widowControl w:val="0"/>
        <w:kinsoku/>
        <w:wordWrap/>
        <w:overflowPunct/>
        <w:topLinePunct w:val="0"/>
        <w:autoSpaceDE/>
        <w:autoSpaceDN/>
        <w:bidi w:val="0"/>
        <w:adjustRightInd/>
        <w:snapToGrid/>
        <w:textAlignment w:val="auto"/>
        <w:rPr>
          <w:rFonts w:hint="eastAsia" w:ascii="宋体" w:hAnsi="宋体" w:eastAsia="楷体_GB2312" w:cs="楷体_GB2312"/>
          <w:b/>
          <w:bCs/>
          <w:color w:val="auto"/>
          <w:sz w:val="32"/>
          <w:szCs w:val="32"/>
          <w:highlight w:val="none"/>
          <w:lang w:val="en-US" w:eastAsia="zh-CN"/>
        </w:rPr>
      </w:pPr>
      <w:r>
        <w:rPr>
          <w:rFonts w:hint="eastAsia" w:ascii="宋体" w:hAnsi="宋体" w:eastAsia="楷体_GB2312" w:cs="楷体_GB2312"/>
          <w:color w:val="auto"/>
          <w:sz w:val="32"/>
          <w:szCs w:val="32"/>
          <w:highlight w:val="none"/>
          <w:lang w:val="en-US" w:eastAsia="zh-CN"/>
        </w:rPr>
        <w:t>一、</w:t>
      </w:r>
      <w:r>
        <w:rPr>
          <w:rFonts w:hint="eastAsia" w:ascii="宋体" w:hAnsi="宋体" w:eastAsia="楷体_GB2312" w:cs="楷体_GB2312"/>
          <w:b/>
          <w:bCs/>
          <w:color w:val="auto"/>
          <w:sz w:val="32"/>
          <w:szCs w:val="32"/>
          <w:highlight w:val="none"/>
          <w:lang w:val="en-US" w:eastAsia="zh-CN"/>
        </w:rPr>
        <w:t>经济影响因子的确定</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根据前面社会经济发展预测，至2025年全师国民生产总值将达到278.7亿元，年均增长8.5%，年末总人口28.7万人。由此得出人均GDP可达到9.7万元。经验数据表明汽车保有量和人均GDP呈正相关性，随着师市经济持续平稳发展，人均GDP持续增长，机动化程度必然进一步提高。</w:t>
      </w:r>
    </w:p>
    <w:p>
      <w:pPr>
        <w:pageBreakBefore w:val="0"/>
        <w:widowControl w:val="0"/>
        <w:kinsoku/>
        <w:wordWrap/>
        <w:overflowPunct/>
        <w:topLinePunct w:val="0"/>
        <w:autoSpaceDE/>
        <w:autoSpaceDN/>
        <w:bidi w:val="0"/>
        <w:adjustRightInd/>
        <w:snapToGrid/>
        <w:textAlignment w:val="auto"/>
        <w:rPr>
          <w:rFonts w:hint="eastAsia" w:ascii="宋体" w:hAnsi="宋体" w:eastAsia="楷体_GB2312" w:cs="楷体_GB2312"/>
          <w:b/>
          <w:bCs/>
          <w:color w:val="auto"/>
          <w:sz w:val="32"/>
          <w:szCs w:val="32"/>
          <w:highlight w:val="none"/>
          <w:lang w:val="en-US" w:eastAsia="zh-CN"/>
        </w:rPr>
      </w:pPr>
      <w:r>
        <w:rPr>
          <w:rFonts w:hint="eastAsia" w:ascii="宋体" w:hAnsi="宋体" w:eastAsia="楷体_GB2312" w:cs="楷体_GB2312"/>
          <w:b/>
          <w:bCs/>
          <w:color w:val="auto"/>
          <w:sz w:val="32"/>
          <w:szCs w:val="32"/>
          <w:highlight w:val="none"/>
          <w:lang w:val="en-US" w:eastAsia="zh-CN"/>
        </w:rPr>
        <w:t>二、预测模型的建立</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本次规划主要采用回归分析方法，构建师市机动车发展预测模型，利用时间序列数据或横向数据建立机动车拥有率与主要驱动因子之间的关系，利用可预测的自变量（驱动因子）来预测变量（拥有率）。</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1.回归分析法</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首先确定决定因子，即通过试算和类比确定选用的决定因子；而后量化决定因子，将决定因子转化成为模型可以使用的数据；最终标定模型。利用合理的方法进行多元模型回归。</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2.时空分析法</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根据总体规划提出中心城区和市域道路网络基本规模、结构，结合未来机动车运行特征，计算合理的机动车保有量上限。</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3.增长率法</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根据现掌握的师市机动化发展历年车辆增长率，预测特征年的车辆拥有量规模。</w:t>
      </w:r>
    </w:p>
    <w:p>
      <w:pPr>
        <w:pageBreakBefore w:val="0"/>
        <w:widowControl w:val="0"/>
        <w:kinsoku/>
        <w:wordWrap/>
        <w:overflowPunct/>
        <w:topLinePunct w:val="0"/>
        <w:autoSpaceDE/>
        <w:autoSpaceDN/>
        <w:bidi w:val="0"/>
        <w:adjustRightInd/>
        <w:snapToGrid/>
        <w:textAlignment w:val="auto"/>
        <w:rPr>
          <w:rFonts w:hint="eastAsia" w:ascii="宋体" w:hAnsi="宋体" w:eastAsia="楷体_GB2312" w:cs="楷体_GB2312"/>
          <w:b/>
          <w:bCs/>
          <w:color w:val="auto"/>
          <w:sz w:val="32"/>
          <w:szCs w:val="32"/>
          <w:highlight w:val="none"/>
          <w:lang w:val="en-US" w:eastAsia="zh-CN"/>
        </w:rPr>
      </w:pPr>
      <w:r>
        <w:rPr>
          <w:rFonts w:hint="eastAsia" w:ascii="宋体" w:hAnsi="宋体" w:eastAsia="楷体_GB2312" w:cs="楷体_GB2312"/>
          <w:b/>
          <w:bCs/>
          <w:color w:val="auto"/>
          <w:sz w:val="32"/>
          <w:szCs w:val="32"/>
          <w:highlight w:val="none"/>
          <w:lang w:val="en-US" w:eastAsia="zh-CN"/>
        </w:rPr>
        <w:t>三、机动车保有量预测结果</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十四五”期间，师市经济社会将处于快速发展阶段，随着居民收入增加，师市机动车在“十四五”期间将继续保持增长趋势，小汽车将更多的进入普通家庭。增长速度将较“十三五”期间虽有所放缓，但仍将处于较高发展水平。</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根据以上模型计算综合论证，预测“十四五”期间，师市机动车年均增长率预计在10%左右，2025年师市机动车保有量预测为26095辆。</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15" w:name="_Toc21844"/>
      <w:r>
        <w:rPr>
          <w:rFonts w:hint="eastAsia" w:ascii="宋体" w:hAnsi="宋体" w:cs="Times New Roman"/>
          <w:b w:val="0"/>
          <w:bCs w:val="0"/>
          <w:color w:val="auto"/>
          <w:highlight w:val="none"/>
          <w:lang w:val="en-US" w:eastAsia="zh-CN"/>
        </w:rPr>
        <w:t xml:space="preserve">第四节 </w:t>
      </w:r>
      <w:r>
        <w:rPr>
          <w:rFonts w:hint="default" w:ascii="宋体" w:hAnsi="宋体" w:cs="Times New Roman"/>
          <w:b w:val="0"/>
          <w:bCs w:val="0"/>
          <w:color w:val="auto"/>
          <w:highlight w:val="none"/>
          <w:lang w:val="en-US" w:eastAsia="zh-CN"/>
        </w:rPr>
        <w:t>成品油零售企业销售量预测分析</w:t>
      </w:r>
      <w:bookmarkEnd w:id="15"/>
    </w:p>
    <w:p>
      <w:pPr>
        <w:bidi w:val="0"/>
        <w:rPr>
          <w:rFonts w:hint="eastAsia" w:ascii="宋体" w:hAnsi="宋体" w:eastAsia="楷体_GB2312" w:cs="楷体_GB2312"/>
          <w:color w:val="auto"/>
          <w:highlight w:val="none"/>
          <w:lang w:val="en-US" w:eastAsia="zh-CN"/>
        </w:rPr>
      </w:pPr>
      <w:r>
        <w:rPr>
          <w:rFonts w:hint="eastAsia" w:ascii="宋体" w:hAnsi="宋体" w:eastAsia="楷体_GB2312" w:cs="楷体_GB2312"/>
          <w:color w:val="auto"/>
          <w:highlight w:val="none"/>
          <w:lang w:val="en-US" w:eastAsia="zh-CN"/>
        </w:rPr>
        <w:t>一、成品油消费市场趋势分析</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十三五</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时期中国炼油工业的发展以市场为导向、效益为目标，转变发展模式，调整产业结构，推进绿色低碳发展，全面提高行业整体竞争力。成品油销售量取决于成品油需求量，而成品油需求量取决于地区经济发展水平、机动车的保有量、车辆耗油、其他燃油替代产品等因素。在能源消费结构向更高效、清洁、可持续方向发展的背景下，主推新能源汽车，机动车能源消费开始由</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传统燃油垄断</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向</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燃油为主、电能为辅</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转变</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但目前新能源机动车仍处于规模有限</w:t>
      </w:r>
      <w:r>
        <w:rPr>
          <w:rFonts w:hint="eastAsia" w:ascii="宋体" w:hAnsi="宋体" w:eastAsia="方正仿宋简体" w:cs="方正仿宋简体"/>
          <w:color w:val="auto"/>
          <w:highlight w:val="none"/>
          <w:lang w:val="en-US" w:eastAsia="zh-CN"/>
        </w:rPr>
        <w:t>的</w:t>
      </w:r>
      <w:r>
        <w:rPr>
          <w:rFonts w:hint="eastAsia" w:ascii="宋体" w:hAnsi="宋体" w:eastAsia="方正仿宋简体" w:cs="方正仿宋简体"/>
          <w:color w:val="auto"/>
          <w:highlight w:val="none"/>
        </w:rPr>
        <w:t>试点阶段，未来五年机动车能源利用形式仍以燃油为主，因此</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十</w:t>
      </w:r>
      <w:r>
        <w:rPr>
          <w:rFonts w:hint="eastAsia" w:ascii="宋体" w:hAnsi="宋体" w:eastAsia="方正仿宋简体" w:cs="方正仿宋简体"/>
          <w:color w:val="auto"/>
          <w:highlight w:val="none"/>
          <w:lang w:eastAsia="zh-CN"/>
        </w:rPr>
        <w:t>四</w:t>
      </w:r>
      <w:r>
        <w:rPr>
          <w:rFonts w:hint="eastAsia" w:ascii="宋体" w:hAnsi="宋体" w:eastAsia="方正仿宋简体" w:cs="方正仿宋简体"/>
          <w:color w:val="auto"/>
          <w:highlight w:val="none"/>
        </w:rPr>
        <w:t>五</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期间</w:t>
      </w:r>
      <w:r>
        <w:rPr>
          <w:rFonts w:hint="eastAsia" w:ascii="宋体" w:hAnsi="宋体" w:eastAsia="方正仿宋简体" w:cs="方正仿宋简体"/>
          <w:color w:val="auto"/>
          <w:highlight w:val="none"/>
          <w:lang w:val="en-US" w:eastAsia="zh-CN"/>
        </w:rPr>
        <w:t>师市</w:t>
      </w:r>
      <w:r>
        <w:rPr>
          <w:rFonts w:hint="eastAsia" w:ascii="宋体" w:hAnsi="宋体" w:eastAsia="方正仿宋简体" w:cs="方正仿宋简体"/>
          <w:color w:val="auto"/>
          <w:highlight w:val="none"/>
        </w:rPr>
        <w:t>成品油需求量仍然较大，加油站仍将是最主要的机动车动力燃料供给</w:t>
      </w:r>
      <w:r>
        <w:rPr>
          <w:rFonts w:hint="eastAsia" w:ascii="宋体" w:hAnsi="宋体" w:eastAsia="方正仿宋简体" w:cs="方正仿宋简体"/>
          <w:color w:val="auto"/>
          <w:highlight w:val="none"/>
          <w:lang w:eastAsia="zh-CN"/>
        </w:rPr>
        <w:t>单元</w:t>
      </w:r>
      <w:r>
        <w:rPr>
          <w:rFonts w:hint="eastAsia" w:ascii="宋体" w:hAnsi="宋体" w:eastAsia="方正仿宋简体" w:cs="方正仿宋简体"/>
          <w:color w:val="auto"/>
          <w:highlight w:val="none"/>
        </w:rPr>
        <w:t>。</w:t>
      </w:r>
    </w:p>
    <w:p>
      <w:pPr>
        <w:bidi w:val="0"/>
        <w:rPr>
          <w:rFonts w:hint="eastAsia" w:ascii="宋体" w:hAnsi="宋体" w:eastAsia="楷体_GB2312" w:cs="楷体_GB2312"/>
          <w:color w:val="auto"/>
          <w:highlight w:val="none"/>
          <w:lang w:val="en-US" w:eastAsia="zh-CN"/>
        </w:rPr>
      </w:pPr>
      <w:r>
        <w:rPr>
          <w:rFonts w:hint="eastAsia" w:ascii="宋体" w:hAnsi="宋体" w:eastAsia="楷体_GB2312" w:cs="楷体_GB2312"/>
          <w:color w:val="auto"/>
          <w:highlight w:val="none"/>
          <w:lang w:val="en-US" w:eastAsia="zh-CN"/>
        </w:rPr>
        <w:t>二、成品油销售量预测</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随着综合交通体系逐步按照规划实施、经济快速发展和人民生活水平提高、生活和生产当中机动车使用量的增加，成品油销售量会有相应的增长；综合分析预测2021-2025年师市成品油销售量年均增长率约为10%。</w:t>
      </w:r>
    </w:p>
    <w:p>
      <w:pPr>
        <w:bidi w:val="0"/>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（一）按增长系数法</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预测计算公式：</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y</w:t>
      </w:r>
      <w:r>
        <w:rPr>
          <w:rFonts w:hint="eastAsia" w:ascii="宋体" w:hAnsi="宋体" w:eastAsia="方正仿宋简体" w:cs="方正仿宋简体"/>
          <w:color w:val="auto"/>
          <w:highlight w:val="none"/>
          <w:vertAlign w:val="subscript"/>
          <w:lang w:val="en-US" w:eastAsia="zh-CN"/>
        </w:rPr>
        <w:t>n</w:t>
      </w:r>
      <w:r>
        <w:rPr>
          <w:rFonts w:hint="eastAsia" w:ascii="宋体" w:hAnsi="宋体" w:eastAsia="方正仿宋简体" w:cs="方正仿宋简体"/>
          <w:color w:val="auto"/>
          <w:highlight w:val="none"/>
          <w:lang w:val="en-US" w:eastAsia="zh-CN"/>
        </w:rPr>
        <w:t>=y</w:t>
      </w:r>
      <w:r>
        <w:rPr>
          <w:rFonts w:hint="eastAsia" w:ascii="宋体" w:hAnsi="宋体" w:eastAsia="方正仿宋简体" w:cs="方正仿宋简体"/>
          <w:color w:val="auto"/>
          <w:highlight w:val="none"/>
          <w:vertAlign w:val="subscript"/>
          <w:lang w:val="en-US" w:eastAsia="zh-CN"/>
        </w:rPr>
        <w:t>0</w:t>
      </w:r>
      <w:r>
        <w:rPr>
          <w:rFonts w:hint="eastAsia" w:ascii="宋体" w:hAnsi="宋体" w:eastAsia="方正仿宋简体" w:cs="方正仿宋简体"/>
          <w:color w:val="auto"/>
          <w:highlight w:val="none"/>
          <w:lang w:val="en-US" w:eastAsia="zh-CN"/>
        </w:rPr>
        <w:t>（1+m）</w:t>
      </w:r>
      <w:r>
        <w:rPr>
          <w:rFonts w:hint="eastAsia" w:ascii="宋体" w:hAnsi="宋体" w:eastAsia="方正仿宋简体" w:cs="方正仿宋简体"/>
          <w:color w:val="auto"/>
          <w:highlight w:val="none"/>
          <w:vertAlign w:val="superscript"/>
          <w:lang w:val="en-US" w:eastAsia="zh-CN"/>
        </w:rPr>
        <w:t>n</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式中：</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y</w:t>
      </w:r>
      <w:r>
        <w:rPr>
          <w:rFonts w:hint="eastAsia" w:ascii="宋体" w:hAnsi="宋体" w:eastAsia="方正仿宋简体" w:cs="方正仿宋简体"/>
          <w:color w:val="auto"/>
          <w:highlight w:val="none"/>
          <w:vertAlign w:val="subscript"/>
          <w:lang w:val="en-US" w:eastAsia="zh-CN"/>
        </w:rPr>
        <w:t>n</w:t>
      </w:r>
      <w:r>
        <w:rPr>
          <w:rFonts w:hint="eastAsia" w:ascii="宋体" w:hAnsi="宋体" w:eastAsia="方正仿宋简体" w:cs="方正仿宋简体"/>
          <w:color w:val="auto"/>
          <w:highlight w:val="none"/>
          <w:lang w:val="en-US" w:eastAsia="zh-CN"/>
        </w:rPr>
        <w:t>为预测年份的销售总量；</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y</w:t>
      </w:r>
      <w:r>
        <w:rPr>
          <w:rFonts w:hint="eastAsia" w:ascii="宋体" w:hAnsi="宋体" w:eastAsia="方正仿宋简体" w:cs="方正仿宋简体"/>
          <w:color w:val="auto"/>
          <w:highlight w:val="none"/>
          <w:vertAlign w:val="subscript"/>
          <w:lang w:val="en-US" w:eastAsia="zh-CN"/>
        </w:rPr>
        <w:t>0</w:t>
      </w:r>
      <w:r>
        <w:rPr>
          <w:rFonts w:hint="eastAsia" w:ascii="宋体" w:hAnsi="宋体" w:eastAsia="方正仿宋简体" w:cs="方正仿宋简体"/>
          <w:color w:val="auto"/>
          <w:highlight w:val="none"/>
          <w:lang w:val="en-US" w:eastAsia="zh-CN"/>
        </w:rPr>
        <w:t>为预测基年的销售总量；</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n为时间段；</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m为增长率；</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按照公式计算可得，2025年师市成品油销售总量为13.2万吨。</w:t>
      </w:r>
    </w:p>
    <w:p>
      <w:pPr>
        <w:bidi w:val="0"/>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（二）按机动车保有量预测</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根据加油站数量和机动车保有量计算，2020年底师市机动车保有量为16203辆，每个加油站平均服务机动车约648辆，依照加油站规划总量控制指标保证平均单站加油量不低于目前平均水平的原则。根据历史数据计算单站加油站服务机动车辆增长率，推算加油站数量：</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Di=（Xi/Ti）·10000式中：</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Di——第i年加油站点数（座）</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Xi——第i年机动车量预测值（万辆）</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Ti——第i年单站加油站年平均服务机动车预测值。</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根据模型计算，2025年师市机动车保有量预测为26095辆，在保证每个加油站平均服务机动车555辆计算，全师市加油站需求总量为56座。</w:t>
      </w:r>
    </w:p>
    <w:p>
      <w:pPr>
        <w:bidi w:val="0"/>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（三）按加油站单站规模计算</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2020年，师市在营加油站单站年平均销售成品油0.48万吨，预计2025年师市辖区64座加油站销售成品油总量达到13.2万吨。</w:t>
      </w:r>
    </w:p>
    <w:p>
      <w:pPr>
        <w:pStyle w:val="2"/>
        <w:rPr>
          <w:rFonts w:hint="eastAsia" w:ascii="宋体" w:hAnsi="宋体"/>
          <w:color w:val="auto"/>
          <w:lang w:val="en-US" w:eastAsia="zh-CN"/>
        </w:rPr>
      </w:pP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16" w:name="_Toc23207"/>
      <w:r>
        <w:rPr>
          <w:rFonts w:hint="eastAsia" w:ascii="宋体" w:hAnsi="宋体" w:cs="Times New Roman"/>
          <w:b w:val="0"/>
          <w:bCs w:val="0"/>
          <w:color w:val="auto"/>
          <w:highlight w:val="none"/>
          <w:lang w:val="en-US" w:eastAsia="zh-CN"/>
        </w:rPr>
        <w:t xml:space="preserve">第五节 </w:t>
      </w:r>
      <w:r>
        <w:rPr>
          <w:rFonts w:hint="default" w:ascii="宋体" w:hAnsi="宋体" w:cs="Times New Roman"/>
          <w:b w:val="0"/>
          <w:bCs w:val="0"/>
          <w:color w:val="auto"/>
          <w:highlight w:val="none"/>
          <w:lang w:val="en-US" w:eastAsia="zh-CN"/>
        </w:rPr>
        <w:t>成品油零售企业需求预测分析</w:t>
      </w:r>
      <w:bookmarkEnd w:id="16"/>
    </w:p>
    <w:p>
      <w:pPr>
        <w:bidi w:val="0"/>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rPr>
        <w:t>根据</w:t>
      </w:r>
      <w:r>
        <w:rPr>
          <w:rFonts w:hint="eastAsia" w:ascii="宋体" w:hAnsi="宋体" w:eastAsia="方正仿宋简体" w:cs="方正仿宋简体"/>
          <w:color w:val="auto"/>
          <w:highlight w:val="none"/>
          <w:lang w:val="en-US" w:eastAsia="zh-CN"/>
        </w:rPr>
        <w:t>师市</w:t>
      </w:r>
      <w:r>
        <w:rPr>
          <w:rFonts w:hint="eastAsia" w:ascii="宋体" w:hAnsi="宋体" w:eastAsia="方正仿宋简体" w:cs="方正仿宋简体"/>
          <w:color w:val="auto"/>
          <w:highlight w:val="none"/>
        </w:rPr>
        <w:t>地理环境、人口和社会经济发展趋势以及城乡建设、机动车拥有量的增加和公路交通网络发展状况，20</w:t>
      </w:r>
      <w:r>
        <w:rPr>
          <w:rFonts w:hint="eastAsia" w:ascii="宋体" w:hAnsi="宋体" w:eastAsia="方正仿宋简体" w:cs="方正仿宋简体"/>
          <w:color w:val="auto"/>
          <w:highlight w:val="none"/>
          <w:lang w:val="en-US" w:eastAsia="zh-CN"/>
        </w:rPr>
        <w:t>21-</w:t>
      </w:r>
      <w:r>
        <w:rPr>
          <w:rFonts w:hint="eastAsia" w:ascii="宋体" w:hAnsi="宋体" w:eastAsia="方正仿宋简体" w:cs="方正仿宋简体"/>
          <w:color w:val="auto"/>
          <w:highlight w:val="none"/>
        </w:rPr>
        <w:t>202</w:t>
      </w:r>
      <w:r>
        <w:rPr>
          <w:rFonts w:hint="eastAsia" w:ascii="宋体" w:hAnsi="宋体" w:eastAsia="方正仿宋简体" w:cs="方正仿宋简体"/>
          <w:color w:val="auto"/>
          <w:highlight w:val="none"/>
          <w:lang w:val="en-US" w:eastAsia="zh-CN"/>
        </w:rPr>
        <w:t>5</w:t>
      </w:r>
      <w:r>
        <w:rPr>
          <w:rFonts w:hint="eastAsia" w:ascii="宋体" w:hAnsi="宋体" w:eastAsia="方正仿宋简体" w:cs="方正仿宋简体"/>
          <w:color w:val="auto"/>
          <w:highlight w:val="none"/>
        </w:rPr>
        <w:t>年</w:t>
      </w:r>
      <w:r>
        <w:rPr>
          <w:rFonts w:hint="eastAsia" w:ascii="宋体" w:hAnsi="宋体" w:eastAsia="方正仿宋简体" w:cs="方正仿宋简体"/>
          <w:color w:val="auto"/>
          <w:highlight w:val="none"/>
          <w:lang w:val="en-US" w:eastAsia="zh-CN"/>
        </w:rPr>
        <w:t>师市辖区</w:t>
      </w:r>
      <w:r>
        <w:rPr>
          <w:rFonts w:hint="eastAsia" w:ascii="宋体" w:hAnsi="宋体" w:eastAsia="方正仿宋简体" w:cs="方正仿宋简体"/>
          <w:color w:val="auto"/>
          <w:highlight w:val="none"/>
        </w:rPr>
        <w:t>拟</w:t>
      </w:r>
      <w:r>
        <w:rPr>
          <w:rFonts w:hint="eastAsia" w:ascii="宋体" w:hAnsi="宋体" w:eastAsia="方正仿宋简体" w:cs="方正仿宋简体"/>
          <w:color w:val="auto"/>
          <w:highlight w:val="none"/>
          <w:lang w:eastAsia="zh-CN"/>
        </w:rPr>
        <w:t>新建</w:t>
      </w:r>
      <w:r>
        <w:rPr>
          <w:rFonts w:hint="eastAsia" w:ascii="宋体" w:hAnsi="宋体" w:eastAsia="方正仿宋简体" w:cs="方正仿宋简体"/>
          <w:color w:val="auto"/>
          <w:highlight w:val="none"/>
        </w:rPr>
        <w:t>加油站</w:t>
      </w:r>
      <w:r>
        <w:rPr>
          <w:rFonts w:hint="eastAsia" w:ascii="宋体" w:hAnsi="宋体" w:eastAsia="方正仿宋简体" w:cs="方正仿宋简体"/>
          <w:color w:val="auto"/>
          <w:highlight w:val="none"/>
          <w:lang w:val="en-US" w:eastAsia="zh-CN"/>
        </w:rPr>
        <w:t>31座、迁址建设1座、原址改扩建3座</w:t>
      </w:r>
      <w:r>
        <w:rPr>
          <w:rFonts w:hint="eastAsia" w:ascii="宋体" w:hAnsi="宋体" w:eastAsia="方正仿宋简体" w:cs="方正仿宋简体"/>
          <w:color w:val="auto"/>
          <w:highlight w:val="none"/>
        </w:rPr>
        <w:t>。20</w:t>
      </w:r>
      <w:r>
        <w:rPr>
          <w:rFonts w:hint="eastAsia" w:ascii="宋体" w:hAnsi="宋体" w:eastAsia="方正仿宋简体" w:cs="方正仿宋简体"/>
          <w:color w:val="auto"/>
          <w:highlight w:val="none"/>
          <w:lang w:val="en-US" w:eastAsia="zh-CN"/>
        </w:rPr>
        <w:t>20</w:t>
      </w:r>
      <w:r>
        <w:rPr>
          <w:rFonts w:hint="eastAsia" w:ascii="宋体" w:hAnsi="宋体" w:eastAsia="方正仿宋简体" w:cs="方正仿宋简体"/>
          <w:color w:val="auto"/>
          <w:highlight w:val="none"/>
        </w:rPr>
        <w:t>年</w:t>
      </w:r>
      <w:r>
        <w:rPr>
          <w:rFonts w:hint="eastAsia" w:ascii="宋体" w:hAnsi="宋体" w:eastAsia="方正仿宋简体" w:cs="方正仿宋简体"/>
          <w:color w:val="auto"/>
          <w:highlight w:val="none"/>
          <w:lang w:val="en-US" w:eastAsia="zh-CN"/>
        </w:rPr>
        <w:t>师市</w:t>
      </w:r>
      <w:r>
        <w:rPr>
          <w:rFonts w:hint="eastAsia" w:ascii="宋体" w:hAnsi="宋体" w:eastAsia="方正仿宋简体" w:cs="方正仿宋简体"/>
          <w:color w:val="auto"/>
          <w:highlight w:val="none"/>
        </w:rPr>
        <w:t>实有加油站</w:t>
      </w:r>
      <w:r>
        <w:rPr>
          <w:rFonts w:hint="eastAsia" w:ascii="宋体" w:hAnsi="宋体" w:eastAsia="方正仿宋简体" w:cs="方正仿宋简体"/>
          <w:color w:val="auto"/>
          <w:highlight w:val="none"/>
          <w:lang w:val="en-US" w:eastAsia="zh-CN"/>
        </w:rPr>
        <w:t>29</w:t>
      </w:r>
      <w:r>
        <w:rPr>
          <w:rFonts w:hint="eastAsia" w:ascii="宋体" w:hAnsi="宋体" w:eastAsia="方正仿宋简体" w:cs="方正仿宋简体"/>
          <w:color w:val="auto"/>
          <w:highlight w:val="none"/>
        </w:rPr>
        <w:t>座，202</w:t>
      </w:r>
      <w:r>
        <w:rPr>
          <w:rFonts w:hint="eastAsia" w:ascii="宋体" w:hAnsi="宋体" w:eastAsia="方正仿宋简体" w:cs="方正仿宋简体"/>
          <w:color w:val="auto"/>
          <w:highlight w:val="none"/>
          <w:lang w:val="en-US" w:eastAsia="zh-CN"/>
        </w:rPr>
        <w:t>5</w:t>
      </w:r>
      <w:r>
        <w:rPr>
          <w:rFonts w:hint="eastAsia" w:ascii="宋体" w:hAnsi="宋体" w:eastAsia="方正仿宋简体" w:cs="方正仿宋简体"/>
          <w:color w:val="auto"/>
          <w:highlight w:val="none"/>
        </w:rPr>
        <w:t>年规划发展达到</w:t>
      </w:r>
      <w:r>
        <w:rPr>
          <w:rFonts w:hint="eastAsia" w:ascii="宋体" w:hAnsi="宋体" w:eastAsia="方正仿宋简体" w:cs="方正仿宋简体"/>
          <w:color w:val="auto"/>
          <w:highlight w:val="none"/>
          <w:lang w:val="en-US" w:eastAsia="zh-CN"/>
        </w:rPr>
        <w:t>64</w:t>
      </w:r>
      <w:r>
        <w:rPr>
          <w:rFonts w:hint="eastAsia" w:ascii="宋体" w:hAnsi="宋体" w:eastAsia="方正仿宋简体" w:cs="方正仿宋简体"/>
          <w:color w:val="auto"/>
          <w:highlight w:val="none"/>
        </w:rPr>
        <w:t>座。</w:t>
      </w:r>
    </w:p>
    <w:p>
      <w:pPr>
        <w:rPr>
          <w:rFonts w:hint="default" w:ascii="宋体" w:hAnsi="宋体" w:cs="Times New Roman"/>
          <w:b/>
          <w:color w:val="auto"/>
          <w:highlight w:val="none"/>
          <w:lang w:val="en-US" w:eastAsia="zh-CN"/>
        </w:rPr>
      </w:pPr>
      <w:r>
        <w:rPr>
          <w:rFonts w:hint="default" w:ascii="宋体" w:hAnsi="宋体" w:cs="Times New Roman"/>
          <w:b/>
          <w:color w:val="auto"/>
          <w:highlight w:val="none"/>
          <w:lang w:val="en-US" w:eastAsia="zh-CN"/>
        </w:rPr>
        <w:br w:type="page"/>
      </w:r>
    </w:p>
    <w:p>
      <w:pPr>
        <w:pStyle w:val="3"/>
        <w:numPr>
          <w:ilvl w:val="0"/>
          <w:numId w:val="0"/>
        </w:numPr>
        <w:bidi w:val="0"/>
        <w:ind w:left="402" w:leftChars="0"/>
        <w:jc w:val="center"/>
        <w:rPr>
          <w:rFonts w:hint="eastAsia" w:ascii="宋体" w:hAnsi="宋体" w:eastAsia="方正小标宋简体" w:cs="方正小标宋简体"/>
          <w:b w:val="0"/>
          <w:bCs/>
          <w:color w:val="auto"/>
          <w:highlight w:val="none"/>
          <w:lang w:val="en-US" w:eastAsia="zh-CN"/>
        </w:rPr>
      </w:pPr>
      <w:bookmarkStart w:id="17" w:name="_Toc9798"/>
      <w:r>
        <w:rPr>
          <w:rFonts w:hint="eastAsia" w:ascii="宋体" w:hAnsi="宋体" w:eastAsia="方正小标宋简体" w:cs="方正小标宋简体"/>
          <w:b w:val="0"/>
          <w:bCs/>
          <w:color w:val="auto"/>
          <w:highlight w:val="none"/>
          <w:lang w:val="en-US" w:eastAsia="zh-CN"/>
        </w:rPr>
        <w:t>第四章 成品油零售体系布局规划</w:t>
      </w:r>
      <w:bookmarkEnd w:id="17"/>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18" w:name="_Toc32337"/>
      <w:r>
        <w:rPr>
          <w:rFonts w:hint="eastAsia" w:ascii="宋体" w:hAnsi="宋体" w:cs="Times New Roman"/>
          <w:b w:val="0"/>
          <w:bCs w:val="0"/>
          <w:color w:val="auto"/>
          <w:highlight w:val="none"/>
          <w:lang w:val="en-US" w:eastAsia="zh-CN"/>
        </w:rPr>
        <w:t xml:space="preserve">第一节 </w:t>
      </w:r>
      <w:r>
        <w:rPr>
          <w:rFonts w:hint="default" w:ascii="宋体" w:hAnsi="宋体" w:cs="Times New Roman"/>
          <w:b w:val="0"/>
          <w:bCs w:val="0"/>
          <w:color w:val="auto"/>
          <w:highlight w:val="none"/>
          <w:lang w:val="en-US" w:eastAsia="zh-CN"/>
        </w:rPr>
        <w:t>规划总体目标</w:t>
      </w:r>
      <w:bookmarkEnd w:id="18"/>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在充分考虑师市社会经济发展态势、区划调整、城乡统筹、新版总体规划修编等因素的基础上，科学预测、合理选址、规范管理，促进加油站向规范化、科学化和法制化发展，形成与需求市场相对应的现代化高效加油站服务体系。根据师市加油站现状的调查结果进行分析，并对未来五年师市成品油需求、汽车保有量进行预测，按照“总量控制、布局合理、确保安全、具备前瞻性”等原则要求，以铁门关市为中心、各团（镇）、园区为重点，高速公路及沿线、连队公路网点为补充，规划建设加油站网点。以增强服务功能、提高服务质量、提升供应保障能力，并努力创造安全、平稳、有序的市场秩序。</w:t>
      </w:r>
    </w:p>
    <w:p>
      <w:pPr>
        <w:rPr>
          <w:rFonts w:hint="eastAsia" w:ascii="宋体" w:hAnsi="宋体" w:eastAsia="方正仿宋简体" w:cs="方正仿宋简体"/>
          <w:color w:val="auto"/>
          <w:highlight w:val="none"/>
          <w:lang w:val="en-US"/>
        </w:rPr>
      </w:pPr>
      <w:r>
        <w:rPr>
          <w:rFonts w:hint="eastAsia" w:ascii="宋体" w:hAnsi="宋体" w:eastAsia="方正仿宋简体" w:cs="方正仿宋简体"/>
          <w:color w:val="auto"/>
          <w:highlight w:val="none"/>
          <w:lang w:val="en-US" w:eastAsia="zh-CN"/>
        </w:rPr>
        <w:t>至</w:t>
      </w:r>
      <w:r>
        <w:rPr>
          <w:rFonts w:hint="eastAsia" w:ascii="宋体" w:hAnsi="宋体" w:eastAsia="方正仿宋简体" w:cs="方正仿宋简体"/>
          <w:color w:val="auto"/>
          <w:highlight w:val="none"/>
        </w:rPr>
        <w:t>202</w:t>
      </w:r>
      <w:r>
        <w:rPr>
          <w:rFonts w:hint="eastAsia" w:ascii="宋体" w:hAnsi="宋体" w:eastAsia="方正仿宋简体" w:cs="方正仿宋简体"/>
          <w:color w:val="auto"/>
          <w:highlight w:val="none"/>
          <w:lang w:val="en-US" w:eastAsia="zh-CN"/>
        </w:rPr>
        <w:t>5</w:t>
      </w:r>
      <w:r>
        <w:rPr>
          <w:rFonts w:hint="eastAsia" w:ascii="宋体" w:hAnsi="宋体" w:eastAsia="方正仿宋简体" w:cs="方正仿宋简体"/>
          <w:color w:val="auto"/>
          <w:highlight w:val="none"/>
        </w:rPr>
        <w:t>年，</w:t>
      </w:r>
      <w:r>
        <w:rPr>
          <w:rFonts w:hint="eastAsia" w:ascii="宋体" w:hAnsi="宋体" w:eastAsia="方正仿宋简体" w:cs="方正仿宋简体"/>
          <w:color w:val="auto"/>
          <w:highlight w:val="none"/>
          <w:lang w:val="en-US" w:eastAsia="zh-CN"/>
        </w:rPr>
        <w:t>师市</w:t>
      </w:r>
      <w:r>
        <w:rPr>
          <w:rFonts w:hint="eastAsia" w:ascii="宋体" w:hAnsi="宋体" w:eastAsia="方正仿宋简体" w:cs="方正仿宋简体"/>
          <w:color w:val="auto"/>
          <w:highlight w:val="none"/>
        </w:rPr>
        <w:t>加油站总数将由目前的</w:t>
      </w:r>
      <w:r>
        <w:rPr>
          <w:rFonts w:hint="eastAsia" w:ascii="宋体" w:hAnsi="宋体" w:eastAsia="方正仿宋简体" w:cs="方正仿宋简体"/>
          <w:color w:val="auto"/>
          <w:highlight w:val="none"/>
          <w:lang w:val="en-US" w:eastAsia="zh-CN"/>
        </w:rPr>
        <w:t>29</w:t>
      </w:r>
      <w:r>
        <w:rPr>
          <w:rFonts w:hint="eastAsia" w:ascii="宋体" w:hAnsi="宋体" w:eastAsia="方正仿宋简体" w:cs="方正仿宋简体"/>
          <w:color w:val="auto"/>
          <w:highlight w:val="none"/>
        </w:rPr>
        <w:t>座，增加到</w:t>
      </w:r>
      <w:r>
        <w:rPr>
          <w:rFonts w:hint="eastAsia" w:ascii="宋体" w:hAnsi="宋体" w:eastAsia="方正仿宋简体" w:cs="方正仿宋简体"/>
          <w:color w:val="auto"/>
          <w:highlight w:val="none"/>
          <w:lang w:val="en-US" w:eastAsia="zh-CN"/>
        </w:rPr>
        <w:t>64</w:t>
      </w:r>
      <w:r>
        <w:rPr>
          <w:rFonts w:hint="eastAsia" w:ascii="宋体" w:hAnsi="宋体" w:eastAsia="方正仿宋简体" w:cs="方正仿宋简体"/>
          <w:color w:val="auto"/>
          <w:highlight w:val="none"/>
        </w:rPr>
        <w:t>座</w:t>
      </w:r>
      <w:r>
        <w:rPr>
          <w:rFonts w:hint="eastAsia" w:ascii="宋体" w:hAnsi="宋体" w:eastAsia="方正仿宋简体" w:cs="方正仿宋简体"/>
          <w:color w:val="auto"/>
          <w:highlight w:val="none"/>
          <w:lang w:eastAsia="zh-CN"/>
        </w:rPr>
        <w:t>，共</w:t>
      </w:r>
      <w:r>
        <w:rPr>
          <w:rFonts w:hint="eastAsia" w:ascii="宋体" w:hAnsi="宋体" w:eastAsia="方正仿宋简体" w:cs="方正仿宋简体"/>
          <w:color w:val="auto"/>
          <w:highlight w:val="none"/>
        </w:rPr>
        <w:t>新建加油站</w:t>
      </w:r>
      <w:r>
        <w:rPr>
          <w:rFonts w:hint="eastAsia" w:ascii="宋体" w:hAnsi="宋体" w:eastAsia="方正仿宋简体" w:cs="方正仿宋简体"/>
          <w:color w:val="auto"/>
          <w:highlight w:val="none"/>
          <w:lang w:val="en-US" w:eastAsia="zh-CN"/>
        </w:rPr>
        <w:t>31</w:t>
      </w:r>
      <w:r>
        <w:rPr>
          <w:rFonts w:hint="eastAsia" w:ascii="宋体" w:hAnsi="宋体" w:eastAsia="方正仿宋简体" w:cs="方正仿宋简体"/>
          <w:color w:val="auto"/>
          <w:highlight w:val="none"/>
        </w:rPr>
        <w:t>座</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lang w:val="en-US" w:eastAsia="zh-CN"/>
        </w:rPr>
        <w:t>迁址新建1座、改扩建3座。其中新建国省道加油站8座，新建团（镇）加油站19座，新建高速公路及沿线加油站4座。</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19" w:name="_Toc7269"/>
      <w:r>
        <w:rPr>
          <w:rFonts w:hint="eastAsia" w:ascii="宋体" w:hAnsi="宋体" w:cs="Times New Roman"/>
          <w:b w:val="0"/>
          <w:bCs w:val="0"/>
          <w:color w:val="auto"/>
          <w:highlight w:val="none"/>
          <w:lang w:val="en-US" w:eastAsia="zh-CN"/>
        </w:rPr>
        <w:t xml:space="preserve">第二节 </w:t>
      </w:r>
      <w:r>
        <w:rPr>
          <w:rFonts w:hint="default" w:ascii="宋体" w:hAnsi="宋体" w:cs="Times New Roman"/>
          <w:b w:val="0"/>
          <w:bCs w:val="0"/>
          <w:color w:val="auto"/>
          <w:highlight w:val="none"/>
          <w:lang w:val="en-US" w:eastAsia="zh-CN"/>
        </w:rPr>
        <w:t>规划布局原则</w:t>
      </w:r>
      <w:bookmarkEnd w:id="19"/>
    </w:p>
    <w:p>
      <w:pPr>
        <w:bidi w:val="0"/>
        <w:rPr>
          <w:rFonts w:hint="eastAsia" w:ascii="宋体" w:hAnsi="宋体" w:eastAsia="方正仿宋简体" w:cs="方正仿宋简体"/>
          <w:color w:val="auto"/>
          <w:highlight w:val="none"/>
        </w:rPr>
      </w:pPr>
      <w:r>
        <w:rPr>
          <w:rFonts w:hint="eastAsia" w:ascii="宋体" w:hAnsi="宋体" w:eastAsia="方正仿宋简体" w:cs="方正仿宋简体"/>
          <w:b/>
          <w:bCs/>
          <w:color w:val="auto"/>
          <w:highlight w:val="none"/>
          <w:lang w:val="en-US" w:eastAsia="zh-CN"/>
        </w:rPr>
        <w:t>——协调统筹、均衡发布</w:t>
      </w:r>
      <w:r>
        <w:rPr>
          <w:rFonts w:hint="eastAsia" w:ascii="宋体" w:hAnsi="宋体" w:eastAsia="方正仿宋简体" w:cs="方正仿宋简体"/>
          <w:color w:val="auto"/>
          <w:highlight w:val="none"/>
          <w:lang w:val="en-US" w:eastAsia="zh-CN"/>
        </w:rPr>
        <w:t>。</w:t>
      </w:r>
      <w:r>
        <w:rPr>
          <w:rFonts w:hint="eastAsia" w:ascii="宋体" w:hAnsi="宋体" w:eastAsia="方正仿宋简体" w:cs="方正仿宋简体"/>
          <w:color w:val="auto"/>
          <w:highlight w:val="none"/>
          <w:u w:val="none"/>
        </w:rPr>
        <w:t>坚持与</w:t>
      </w:r>
      <w:r>
        <w:rPr>
          <w:rFonts w:hint="eastAsia" w:ascii="宋体" w:hAnsi="宋体" w:eastAsia="方正仿宋简体" w:cs="方正仿宋简体"/>
          <w:color w:val="auto"/>
          <w:highlight w:val="none"/>
          <w:u w:val="none"/>
          <w:lang w:val="en-US" w:eastAsia="zh-CN"/>
        </w:rPr>
        <w:t>师市</w:t>
      </w:r>
      <w:r>
        <w:rPr>
          <w:rFonts w:hint="eastAsia" w:ascii="宋体" w:hAnsi="宋体" w:eastAsia="方正仿宋简体" w:cs="方正仿宋简体"/>
          <w:color w:val="auto"/>
          <w:highlight w:val="none"/>
          <w:u w:val="none"/>
        </w:rPr>
        <w:t>总体发展思路相协调，避免对城市交通、景观造成负面影响</w:t>
      </w:r>
      <w:r>
        <w:rPr>
          <w:rFonts w:hint="eastAsia" w:ascii="宋体" w:hAnsi="宋体" w:eastAsia="方正仿宋简体" w:cs="方正仿宋简体"/>
          <w:color w:val="auto"/>
          <w:highlight w:val="none"/>
          <w:u w:val="none"/>
          <w:lang w:eastAsia="zh-CN"/>
        </w:rPr>
        <w:t>。</w:t>
      </w:r>
      <w:r>
        <w:rPr>
          <w:rFonts w:hint="eastAsia" w:ascii="宋体" w:hAnsi="宋体" w:eastAsia="方正仿宋简体" w:cs="方正仿宋简体"/>
          <w:color w:val="auto"/>
          <w:highlight w:val="none"/>
          <w:u w:val="none"/>
        </w:rPr>
        <w:t>根据</w:t>
      </w:r>
      <w:r>
        <w:rPr>
          <w:rFonts w:hint="eastAsia" w:ascii="宋体" w:hAnsi="宋体" w:eastAsia="方正仿宋简体" w:cs="方正仿宋简体"/>
          <w:color w:val="auto"/>
          <w:highlight w:val="none"/>
          <w:u w:val="none"/>
          <w:lang w:val="en-US" w:eastAsia="zh-CN"/>
        </w:rPr>
        <w:t>各团（镇）</w:t>
      </w:r>
      <w:r>
        <w:rPr>
          <w:rFonts w:hint="eastAsia" w:ascii="宋体" w:hAnsi="宋体" w:eastAsia="方正仿宋简体" w:cs="方正仿宋简体"/>
          <w:color w:val="auto"/>
          <w:highlight w:val="none"/>
          <w:u w:val="none"/>
        </w:rPr>
        <w:t>、</w:t>
      </w:r>
      <w:r>
        <w:rPr>
          <w:rFonts w:hint="eastAsia" w:ascii="宋体" w:hAnsi="宋体" w:eastAsia="方正仿宋简体" w:cs="方正仿宋简体"/>
          <w:color w:val="auto"/>
          <w:highlight w:val="none"/>
          <w:u w:val="none"/>
          <w:lang w:val="en-US" w:eastAsia="zh-CN"/>
        </w:rPr>
        <w:t>连队</w:t>
      </w:r>
      <w:r>
        <w:rPr>
          <w:rFonts w:hint="eastAsia" w:ascii="宋体" w:hAnsi="宋体" w:eastAsia="方正仿宋简体" w:cs="方正仿宋简体"/>
          <w:color w:val="auto"/>
          <w:highlight w:val="none"/>
          <w:u w:val="none"/>
        </w:rPr>
        <w:t>以及交通设施规划建设情况均衡设置加油站，发挥</w:t>
      </w:r>
      <w:r>
        <w:rPr>
          <w:rFonts w:hint="eastAsia" w:ascii="宋体" w:hAnsi="宋体" w:eastAsia="方正仿宋简体" w:cs="方正仿宋简体"/>
          <w:color w:val="auto"/>
          <w:highlight w:val="none"/>
        </w:rPr>
        <w:t>单个油站最大服务效应，</w:t>
      </w:r>
      <w:r>
        <w:rPr>
          <w:rFonts w:hint="eastAsia" w:ascii="宋体" w:hAnsi="宋体" w:eastAsia="方正仿宋简体" w:cs="方正仿宋简体"/>
          <w:color w:val="auto"/>
          <w:highlight w:val="none"/>
          <w:lang w:eastAsia="zh-CN"/>
        </w:rPr>
        <w:t>避免</w:t>
      </w:r>
      <w:r>
        <w:rPr>
          <w:rFonts w:hint="eastAsia" w:ascii="宋体" w:hAnsi="宋体" w:eastAsia="方正仿宋简体" w:cs="方正仿宋简体"/>
          <w:color w:val="auto"/>
          <w:highlight w:val="none"/>
        </w:rPr>
        <w:t>造成资源过剩和浪费</w:t>
      </w:r>
      <w:r>
        <w:rPr>
          <w:rFonts w:hint="eastAsia" w:ascii="宋体" w:hAnsi="宋体" w:eastAsia="方正仿宋简体" w:cs="方正仿宋简体"/>
          <w:color w:val="auto"/>
          <w:highlight w:val="none"/>
          <w:lang w:eastAsia="zh-CN"/>
        </w:rPr>
        <w:t>，促进成品油零售企业良性竞争</w:t>
      </w:r>
      <w:r>
        <w:rPr>
          <w:rFonts w:hint="eastAsia" w:ascii="宋体" w:hAnsi="宋体" w:eastAsia="方正仿宋简体" w:cs="方正仿宋简体"/>
          <w:color w:val="auto"/>
          <w:highlight w:val="none"/>
        </w:rPr>
        <w:t>。</w:t>
      </w:r>
    </w:p>
    <w:p>
      <w:pPr>
        <w:bidi w:val="0"/>
        <w:rPr>
          <w:rFonts w:hint="eastAsia" w:ascii="宋体" w:hAnsi="宋体" w:eastAsia="方正仿宋简体" w:cs="方正仿宋简体"/>
          <w:color w:val="auto"/>
          <w:kern w:val="0"/>
          <w:sz w:val="32"/>
          <w:szCs w:val="32"/>
          <w:highlight w:val="none"/>
          <w:lang w:eastAsia="zh-CN"/>
        </w:rPr>
      </w:pPr>
      <w:r>
        <w:rPr>
          <w:rFonts w:hint="eastAsia" w:ascii="宋体" w:hAnsi="宋体" w:eastAsia="方正仿宋简体" w:cs="方正仿宋简体"/>
          <w:b/>
          <w:bCs/>
          <w:color w:val="auto"/>
          <w:highlight w:val="none"/>
          <w:lang w:val="en-US" w:eastAsia="zh-CN"/>
        </w:rPr>
        <w:t>——科学施策、合理布局</w:t>
      </w:r>
      <w:r>
        <w:rPr>
          <w:rFonts w:hint="eastAsia" w:ascii="宋体" w:hAnsi="宋体" w:eastAsia="方正仿宋简体" w:cs="方正仿宋简体"/>
          <w:b w:val="0"/>
          <w:bCs w:val="0"/>
          <w:color w:val="auto"/>
          <w:highlight w:val="none"/>
          <w:lang w:val="en-US" w:eastAsia="zh-CN"/>
        </w:rPr>
        <w:t>。</w:t>
      </w:r>
      <w:r>
        <w:rPr>
          <w:rFonts w:hint="eastAsia" w:ascii="宋体" w:hAnsi="宋体" w:eastAsia="方正仿宋简体" w:cs="方正仿宋简体"/>
          <w:color w:val="auto"/>
          <w:kern w:val="0"/>
          <w:sz w:val="32"/>
          <w:szCs w:val="32"/>
          <w:highlight w:val="none"/>
          <w:lang w:val="en-US" w:eastAsia="zh-CN"/>
        </w:rPr>
        <w:t>因地制宜</w:t>
      </w:r>
      <w:r>
        <w:rPr>
          <w:rFonts w:hint="eastAsia" w:ascii="宋体" w:hAnsi="宋体" w:eastAsia="方正仿宋简体" w:cs="方正仿宋简体"/>
          <w:color w:val="auto"/>
          <w:kern w:val="0"/>
          <w:sz w:val="32"/>
          <w:szCs w:val="32"/>
          <w:highlight w:val="none"/>
        </w:rPr>
        <w:t>，科学预测成品油需求趋势，通过关闭、撤并、</w:t>
      </w:r>
      <w:r>
        <w:rPr>
          <w:rFonts w:hint="eastAsia" w:ascii="宋体" w:hAnsi="宋体" w:eastAsia="方正仿宋简体" w:cs="方正仿宋简体"/>
          <w:color w:val="auto"/>
          <w:kern w:val="0"/>
          <w:sz w:val="32"/>
          <w:szCs w:val="32"/>
          <w:highlight w:val="none"/>
          <w:lang w:eastAsia="zh-CN"/>
        </w:rPr>
        <w:t>拆</w:t>
      </w:r>
      <w:r>
        <w:rPr>
          <w:rFonts w:hint="eastAsia" w:ascii="宋体" w:hAnsi="宋体" w:eastAsia="方正仿宋简体" w:cs="方正仿宋简体"/>
          <w:color w:val="auto"/>
          <w:kern w:val="0"/>
          <w:sz w:val="32"/>
          <w:szCs w:val="32"/>
          <w:highlight w:val="none"/>
        </w:rPr>
        <w:t>迁</w:t>
      </w:r>
      <w:r>
        <w:rPr>
          <w:rFonts w:hint="eastAsia" w:ascii="宋体" w:hAnsi="宋体" w:eastAsia="方正仿宋简体" w:cs="方正仿宋简体"/>
          <w:color w:val="auto"/>
          <w:kern w:val="0"/>
          <w:sz w:val="32"/>
          <w:szCs w:val="32"/>
          <w:highlight w:val="none"/>
          <w:lang w:eastAsia="zh-CN"/>
        </w:rPr>
        <w:t>、改建</w:t>
      </w:r>
      <w:r>
        <w:rPr>
          <w:rFonts w:hint="eastAsia" w:ascii="宋体" w:hAnsi="宋体" w:eastAsia="方正仿宋简体" w:cs="方正仿宋简体"/>
          <w:color w:val="auto"/>
          <w:kern w:val="0"/>
          <w:sz w:val="32"/>
          <w:szCs w:val="32"/>
          <w:highlight w:val="none"/>
        </w:rPr>
        <w:t>等手段，对现有成品油零售企业的布局进行调整，进一步优化成品油零售企业行业的规模和网络</w:t>
      </w:r>
      <w:r>
        <w:rPr>
          <w:rFonts w:hint="eastAsia" w:ascii="宋体" w:hAnsi="宋体" w:eastAsia="方正仿宋简体" w:cs="方正仿宋简体"/>
          <w:color w:val="auto"/>
          <w:kern w:val="0"/>
          <w:sz w:val="32"/>
          <w:szCs w:val="32"/>
          <w:highlight w:val="none"/>
          <w:lang w:eastAsia="zh-CN"/>
        </w:rPr>
        <w:t>布局</w:t>
      </w:r>
      <w:r>
        <w:rPr>
          <w:rFonts w:hint="eastAsia" w:ascii="宋体" w:hAnsi="宋体" w:eastAsia="方正仿宋简体" w:cs="方正仿宋简体"/>
          <w:color w:val="auto"/>
          <w:kern w:val="0"/>
          <w:sz w:val="32"/>
          <w:szCs w:val="32"/>
          <w:highlight w:val="none"/>
        </w:rPr>
        <w:t>。对位于</w:t>
      </w:r>
      <w:r>
        <w:rPr>
          <w:rFonts w:hint="eastAsia" w:ascii="宋体" w:hAnsi="宋体" w:eastAsia="方正仿宋简体" w:cs="方正仿宋简体"/>
          <w:color w:val="auto"/>
          <w:kern w:val="0"/>
          <w:sz w:val="32"/>
          <w:szCs w:val="32"/>
          <w:highlight w:val="none"/>
          <w:lang w:eastAsia="zh-CN"/>
        </w:rPr>
        <w:t>城镇</w:t>
      </w:r>
      <w:r>
        <w:rPr>
          <w:rFonts w:hint="eastAsia" w:ascii="宋体" w:hAnsi="宋体" w:eastAsia="方正仿宋简体" w:cs="方正仿宋简体"/>
          <w:color w:val="auto"/>
          <w:kern w:val="0"/>
          <w:sz w:val="32"/>
          <w:szCs w:val="32"/>
          <w:highlight w:val="none"/>
        </w:rPr>
        <w:t>密集区</w:t>
      </w:r>
      <w:r>
        <w:rPr>
          <w:rFonts w:hint="eastAsia" w:ascii="宋体" w:hAnsi="宋体" w:eastAsia="方正仿宋简体" w:cs="方正仿宋简体"/>
          <w:color w:val="auto"/>
          <w:kern w:val="0"/>
          <w:sz w:val="32"/>
          <w:szCs w:val="32"/>
          <w:highlight w:val="none"/>
          <w:lang w:eastAsia="zh-CN"/>
        </w:rPr>
        <w:t>域</w:t>
      </w:r>
      <w:r>
        <w:rPr>
          <w:rFonts w:hint="eastAsia" w:ascii="宋体" w:hAnsi="宋体" w:eastAsia="方正仿宋简体" w:cs="方正仿宋简体"/>
          <w:color w:val="auto"/>
          <w:kern w:val="0"/>
          <w:sz w:val="32"/>
          <w:szCs w:val="32"/>
          <w:highlight w:val="none"/>
        </w:rPr>
        <w:t>的加油站实行搬迁，</w:t>
      </w:r>
      <w:r>
        <w:rPr>
          <w:rFonts w:hint="eastAsia" w:ascii="宋体" w:hAnsi="宋体" w:eastAsia="方正仿宋简体" w:cs="方正仿宋简体"/>
          <w:color w:val="auto"/>
          <w:kern w:val="0"/>
          <w:sz w:val="32"/>
          <w:szCs w:val="32"/>
          <w:highlight w:val="none"/>
          <w:lang w:eastAsia="zh-CN"/>
        </w:rPr>
        <w:t>以</w:t>
      </w:r>
      <w:r>
        <w:rPr>
          <w:rFonts w:hint="eastAsia" w:ascii="宋体" w:hAnsi="宋体" w:eastAsia="方正仿宋简体" w:cs="方正仿宋简体"/>
          <w:color w:val="auto"/>
          <w:kern w:val="0"/>
          <w:sz w:val="32"/>
          <w:szCs w:val="32"/>
          <w:highlight w:val="none"/>
        </w:rPr>
        <w:t>消除安全隐患</w:t>
      </w:r>
      <w:r>
        <w:rPr>
          <w:rFonts w:hint="eastAsia" w:ascii="宋体" w:hAnsi="宋体" w:eastAsia="方正仿宋简体" w:cs="方正仿宋简体"/>
          <w:color w:val="auto"/>
          <w:kern w:val="0"/>
          <w:sz w:val="32"/>
          <w:szCs w:val="32"/>
          <w:highlight w:val="none"/>
          <w:lang w:eastAsia="zh-CN"/>
        </w:rPr>
        <w:t>，同时严格新建加油站审批，现有加油站满足供应需求时，同一区域内不予批建。</w:t>
      </w:r>
    </w:p>
    <w:p>
      <w:pPr>
        <w:bidi w:val="0"/>
        <w:rPr>
          <w:rFonts w:hint="eastAsia" w:ascii="宋体" w:hAnsi="宋体" w:eastAsia="方正仿宋简体" w:cs="方正仿宋简体"/>
          <w:color w:val="auto"/>
          <w:highlight w:val="none"/>
          <w:u w:val="none"/>
        </w:rPr>
      </w:pPr>
      <w:r>
        <w:rPr>
          <w:rFonts w:hint="eastAsia" w:ascii="宋体" w:hAnsi="宋体" w:eastAsia="方正仿宋简体" w:cs="方正仿宋简体"/>
          <w:b/>
          <w:bCs/>
          <w:color w:val="auto"/>
          <w:highlight w:val="none"/>
          <w:lang w:val="en-US" w:eastAsia="zh-CN"/>
        </w:rPr>
        <w:t>——安全环保、节约优先</w:t>
      </w:r>
      <w:r>
        <w:rPr>
          <w:rFonts w:hint="eastAsia" w:ascii="宋体" w:hAnsi="宋体" w:eastAsia="方正仿宋简体" w:cs="方正仿宋简体"/>
          <w:color w:val="auto"/>
          <w:highlight w:val="none"/>
          <w:lang w:val="en-US" w:eastAsia="zh-CN"/>
        </w:rPr>
        <w:t>。</w:t>
      </w:r>
      <w:r>
        <w:rPr>
          <w:rFonts w:hint="eastAsia" w:ascii="宋体" w:hAnsi="宋体" w:eastAsia="方正仿宋简体" w:cs="方正仿宋简体"/>
          <w:color w:val="auto"/>
          <w:highlight w:val="none"/>
          <w:u w:val="none"/>
          <w:lang w:val="en-US" w:eastAsia="zh-CN"/>
        </w:rPr>
        <w:t>以</w:t>
      </w:r>
      <w:r>
        <w:rPr>
          <w:rFonts w:hint="eastAsia" w:ascii="宋体" w:hAnsi="宋体" w:eastAsia="方正仿宋简体" w:cs="方正仿宋简体"/>
          <w:color w:val="auto"/>
          <w:highlight w:val="none"/>
          <w:u w:val="none"/>
          <w:lang w:eastAsia="zh-CN"/>
        </w:rPr>
        <w:t>“</w:t>
      </w:r>
      <w:r>
        <w:rPr>
          <w:rFonts w:hint="eastAsia" w:ascii="宋体" w:hAnsi="宋体" w:eastAsia="方正仿宋简体" w:cs="方正仿宋简体"/>
          <w:color w:val="auto"/>
          <w:highlight w:val="none"/>
          <w:u w:val="none"/>
        </w:rPr>
        <w:t>严格控制总量，合理优化布局</w:t>
      </w:r>
      <w:r>
        <w:rPr>
          <w:rFonts w:hint="eastAsia" w:ascii="宋体" w:hAnsi="宋体" w:eastAsia="方正仿宋简体" w:cs="方正仿宋简体"/>
          <w:color w:val="auto"/>
          <w:highlight w:val="none"/>
          <w:u w:val="none"/>
          <w:lang w:eastAsia="zh-CN"/>
        </w:rPr>
        <w:t>”</w:t>
      </w:r>
      <w:r>
        <w:rPr>
          <w:rFonts w:hint="eastAsia" w:ascii="宋体" w:hAnsi="宋体" w:eastAsia="方正仿宋简体" w:cs="方正仿宋简体"/>
          <w:color w:val="auto"/>
          <w:highlight w:val="none"/>
          <w:u w:val="none"/>
          <w:lang w:val="en-US" w:eastAsia="zh-CN"/>
        </w:rPr>
        <w:t>为目的</w:t>
      </w:r>
      <w:r>
        <w:rPr>
          <w:rFonts w:hint="eastAsia" w:ascii="宋体" w:hAnsi="宋体" w:eastAsia="方正仿宋简体" w:cs="方正仿宋简体"/>
          <w:color w:val="auto"/>
          <w:highlight w:val="none"/>
          <w:u w:val="none"/>
        </w:rPr>
        <w:t>，对现有加油站逐步进行合理调整和改造，</w:t>
      </w:r>
      <w:r>
        <w:rPr>
          <w:rFonts w:hint="eastAsia" w:ascii="宋体" w:hAnsi="宋体" w:eastAsia="方正仿宋简体" w:cs="方正仿宋简体"/>
          <w:b w:val="0"/>
          <w:bCs w:val="0"/>
          <w:color w:val="auto"/>
          <w:sz w:val="32"/>
          <w:szCs w:val="32"/>
          <w:highlight w:val="none"/>
        </w:rPr>
        <w:t>进一步优化成品油零售</w:t>
      </w:r>
      <w:r>
        <w:rPr>
          <w:rFonts w:hint="eastAsia" w:ascii="宋体" w:hAnsi="宋体" w:eastAsia="方正仿宋简体" w:cs="方正仿宋简体"/>
          <w:b w:val="0"/>
          <w:bCs w:val="0"/>
          <w:color w:val="auto"/>
          <w:sz w:val="32"/>
          <w:szCs w:val="32"/>
          <w:highlight w:val="none"/>
          <w:lang w:val="en-US" w:eastAsia="zh-CN"/>
        </w:rPr>
        <w:t>企业</w:t>
      </w:r>
      <w:r>
        <w:rPr>
          <w:rFonts w:hint="eastAsia" w:ascii="宋体" w:hAnsi="宋体" w:eastAsia="方正仿宋简体" w:cs="方正仿宋简体"/>
          <w:b w:val="0"/>
          <w:bCs w:val="0"/>
          <w:color w:val="auto"/>
          <w:sz w:val="32"/>
          <w:szCs w:val="32"/>
          <w:highlight w:val="none"/>
        </w:rPr>
        <w:t>规模和网络</w:t>
      </w:r>
      <w:r>
        <w:rPr>
          <w:rFonts w:hint="eastAsia" w:ascii="宋体" w:hAnsi="宋体" w:eastAsia="方正仿宋简体" w:cs="方正仿宋简体"/>
          <w:b w:val="0"/>
          <w:bCs w:val="0"/>
          <w:color w:val="auto"/>
          <w:sz w:val="32"/>
          <w:szCs w:val="32"/>
          <w:highlight w:val="none"/>
          <w:lang w:eastAsia="zh-CN"/>
        </w:rPr>
        <w:t>布局，</w:t>
      </w:r>
      <w:r>
        <w:rPr>
          <w:rFonts w:hint="eastAsia" w:ascii="宋体" w:hAnsi="宋体" w:eastAsia="方正仿宋简体" w:cs="方正仿宋简体"/>
          <w:color w:val="auto"/>
          <w:highlight w:val="none"/>
          <w:u w:val="none"/>
          <w:lang w:eastAsia="zh-CN"/>
        </w:rPr>
        <w:t>严格把控</w:t>
      </w:r>
      <w:r>
        <w:rPr>
          <w:rFonts w:hint="eastAsia" w:ascii="宋体" w:hAnsi="宋体" w:eastAsia="方正仿宋简体" w:cs="方正仿宋简体"/>
          <w:color w:val="auto"/>
          <w:highlight w:val="none"/>
          <w:u w:val="none"/>
        </w:rPr>
        <w:t>新建加油站</w:t>
      </w:r>
      <w:r>
        <w:rPr>
          <w:rFonts w:hint="eastAsia" w:ascii="宋体" w:hAnsi="宋体" w:eastAsia="方正仿宋简体" w:cs="方正仿宋简体"/>
          <w:color w:val="auto"/>
          <w:highlight w:val="none"/>
          <w:u w:val="none"/>
          <w:lang w:eastAsia="zh-CN"/>
        </w:rPr>
        <w:t>必须符合</w:t>
      </w:r>
      <w:r>
        <w:rPr>
          <w:rFonts w:hint="eastAsia" w:ascii="宋体" w:hAnsi="宋体" w:eastAsia="方正仿宋简体" w:cs="方正仿宋简体"/>
          <w:color w:val="auto"/>
          <w:highlight w:val="none"/>
          <w:u w:val="none"/>
        </w:rPr>
        <w:t>设置的指标标准。</w:t>
      </w:r>
      <w:r>
        <w:rPr>
          <w:rFonts w:hint="eastAsia" w:ascii="宋体" w:hAnsi="宋体" w:eastAsia="方正仿宋简体" w:cs="方正仿宋简体"/>
          <w:color w:val="auto"/>
          <w:highlight w:val="none"/>
        </w:rPr>
        <w:t>加油站建设注重环保安全，选址充分考虑对周围环境的影响，加强环境监控。对现有不符合消防安全、环保要求的加油站通过</w:t>
      </w:r>
      <w:r>
        <w:rPr>
          <w:rFonts w:hint="eastAsia" w:ascii="宋体" w:hAnsi="宋体" w:eastAsia="方正仿宋简体" w:cs="方正仿宋简体"/>
          <w:color w:val="auto"/>
          <w:highlight w:val="none"/>
          <w:lang w:eastAsia="zh-CN"/>
        </w:rPr>
        <w:t>原址</w:t>
      </w:r>
      <w:r>
        <w:rPr>
          <w:rFonts w:hint="eastAsia" w:ascii="宋体" w:hAnsi="宋体" w:eastAsia="方正仿宋简体" w:cs="方正仿宋简体"/>
          <w:color w:val="auto"/>
          <w:highlight w:val="none"/>
        </w:rPr>
        <w:t>规范改造或迁建</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关闭处理，使新规划布局更为合理</w:t>
      </w:r>
      <w:r>
        <w:rPr>
          <w:rFonts w:hint="eastAsia" w:ascii="宋体" w:hAnsi="宋体" w:eastAsia="方正仿宋简体" w:cs="方正仿宋简体"/>
          <w:color w:val="auto"/>
          <w:highlight w:val="none"/>
          <w:lang w:eastAsia="zh-CN"/>
        </w:rPr>
        <w:t>、安全</w:t>
      </w:r>
      <w:r>
        <w:rPr>
          <w:rFonts w:hint="eastAsia" w:ascii="宋体" w:hAnsi="宋体" w:eastAsia="方正仿宋简体" w:cs="方正仿宋简体"/>
          <w:color w:val="auto"/>
          <w:highlight w:val="none"/>
        </w:rPr>
        <w:t>。</w:t>
      </w:r>
    </w:p>
    <w:p>
      <w:pPr>
        <w:bidi w:val="0"/>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——引领创新、绿色发展。</w:t>
      </w:r>
      <w:r>
        <w:rPr>
          <w:rFonts w:hint="eastAsia" w:ascii="宋体" w:hAnsi="宋体" w:eastAsia="方正仿宋简体" w:cs="方正仿宋简体"/>
          <w:color w:val="auto"/>
          <w:highlight w:val="none"/>
          <w:lang w:val="en-US" w:eastAsia="zh-CN"/>
        </w:rPr>
        <w:t>充分利用物联网、云计算、大数据等手段，发展智慧加油服务。统筹规划非油商品服务设施，开展加油站便利店、汽车维修保养等非油品服务，促进加油站向服务站转变，提升服务水平。</w:t>
      </w:r>
      <w:r>
        <w:rPr>
          <w:rFonts w:hint="eastAsia" w:ascii="宋体" w:hAnsi="宋体" w:eastAsia="方正仿宋简体" w:cs="方正仿宋简体"/>
          <w:b w:val="0"/>
          <w:bCs w:val="0"/>
          <w:color w:val="auto"/>
          <w:sz w:val="32"/>
          <w:szCs w:val="32"/>
          <w:highlight w:val="none"/>
        </w:rPr>
        <w:t>提高新能源利用</w:t>
      </w:r>
      <w:r>
        <w:rPr>
          <w:rFonts w:hint="eastAsia" w:ascii="宋体" w:hAnsi="宋体" w:eastAsia="方正仿宋简体" w:cs="方正仿宋简体"/>
          <w:b w:val="0"/>
          <w:bCs w:val="0"/>
          <w:color w:val="auto"/>
          <w:sz w:val="32"/>
          <w:szCs w:val="32"/>
          <w:highlight w:val="none"/>
          <w:lang w:val="en-US" w:eastAsia="zh-CN"/>
        </w:rPr>
        <w:t>率</w:t>
      </w:r>
      <w:r>
        <w:rPr>
          <w:rFonts w:hint="eastAsia" w:ascii="宋体" w:hAnsi="宋体" w:eastAsia="方正仿宋简体" w:cs="方正仿宋简体"/>
          <w:b w:val="0"/>
          <w:bCs w:val="0"/>
          <w:color w:val="auto"/>
          <w:sz w:val="32"/>
          <w:szCs w:val="32"/>
          <w:highlight w:val="none"/>
          <w:lang w:eastAsia="zh-CN"/>
        </w:rPr>
        <w:t>，</w:t>
      </w:r>
      <w:r>
        <w:rPr>
          <w:rFonts w:hint="eastAsia" w:ascii="宋体" w:hAnsi="宋体" w:eastAsia="方正仿宋简体" w:cs="方正仿宋简体"/>
          <w:b w:val="0"/>
          <w:bCs w:val="0"/>
          <w:color w:val="auto"/>
          <w:sz w:val="32"/>
          <w:szCs w:val="32"/>
          <w:highlight w:val="none"/>
        </w:rPr>
        <w:t>为适应汽车能源多元化的发展趋势</w:t>
      </w:r>
      <w:r>
        <w:rPr>
          <w:rFonts w:hint="eastAsia" w:ascii="宋体" w:hAnsi="宋体" w:eastAsia="方正仿宋简体" w:cs="方正仿宋简体"/>
          <w:b w:val="0"/>
          <w:bCs w:val="0"/>
          <w:color w:val="auto"/>
          <w:sz w:val="32"/>
          <w:szCs w:val="32"/>
          <w:highlight w:val="none"/>
          <w:lang w:eastAsia="zh-CN"/>
        </w:rPr>
        <w:t>，</w:t>
      </w:r>
      <w:r>
        <w:rPr>
          <w:rFonts w:hint="eastAsia" w:ascii="宋体" w:hAnsi="宋体" w:eastAsia="方正仿宋简体" w:cs="方正仿宋简体"/>
          <w:b w:val="0"/>
          <w:bCs w:val="0"/>
          <w:color w:val="auto"/>
          <w:sz w:val="32"/>
          <w:szCs w:val="32"/>
          <w:highlight w:val="none"/>
        </w:rPr>
        <w:t>在有条件的</w:t>
      </w:r>
      <w:r>
        <w:rPr>
          <w:rFonts w:hint="eastAsia" w:ascii="宋体" w:hAnsi="宋体" w:eastAsia="方正仿宋简体" w:cs="方正仿宋简体"/>
          <w:b w:val="0"/>
          <w:bCs w:val="0"/>
          <w:color w:val="auto"/>
          <w:sz w:val="32"/>
          <w:szCs w:val="32"/>
          <w:highlight w:val="none"/>
          <w:lang w:val="en-US" w:eastAsia="zh-CN"/>
        </w:rPr>
        <w:t>区域</w:t>
      </w:r>
      <w:r>
        <w:rPr>
          <w:rFonts w:hint="eastAsia" w:ascii="宋体" w:hAnsi="宋体" w:eastAsia="方正仿宋简体" w:cs="方正仿宋简体"/>
          <w:b w:val="0"/>
          <w:bCs w:val="0"/>
          <w:color w:val="auto"/>
          <w:sz w:val="32"/>
          <w:szCs w:val="32"/>
          <w:highlight w:val="none"/>
        </w:rPr>
        <w:t>为油、气、电动等多式联营建站留有空间</w:t>
      </w:r>
      <w:r>
        <w:rPr>
          <w:rFonts w:hint="eastAsia" w:ascii="宋体" w:hAnsi="宋体" w:eastAsia="方正仿宋简体" w:cs="方正仿宋简体"/>
          <w:b w:val="0"/>
          <w:bCs w:val="0"/>
          <w:color w:val="auto"/>
          <w:sz w:val="32"/>
          <w:szCs w:val="32"/>
          <w:highlight w:val="none"/>
          <w:lang w:eastAsia="zh-CN"/>
        </w:rPr>
        <w:t>，</w:t>
      </w:r>
      <w:r>
        <w:rPr>
          <w:rFonts w:hint="eastAsia" w:ascii="宋体" w:hAnsi="宋体" w:eastAsia="方正仿宋简体" w:cs="方正仿宋简体"/>
          <w:b w:val="0"/>
          <w:bCs w:val="0"/>
          <w:color w:val="auto"/>
          <w:sz w:val="32"/>
          <w:szCs w:val="32"/>
          <w:highlight w:val="none"/>
          <w:lang w:val="en-US" w:eastAsia="zh-CN"/>
        </w:rPr>
        <w:t>促进绿色发展</w:t>
      </w:r>
      <w:r>
        <w:rPr>
          <w:rFonts w:hint="eastAsia" w:ascii="宋体" w:hAnsi="宋体" w:eastAsia="方正仿宋简体" w:cs="方正仿宋简体"/>
          <w:b w:val="0"/>
          <w:bCs w:val="0"/>
          <w:color w:val="auto"/>
          <w:sz w:val="32"/>
          <w:szCs w:val="32"/>
          <w:highlight w:val="none"/>
          <w:lang w:eastAsia="zh-CN"/>
        </w:rPr>
        <w:t>。</w:t>
      </w:r>
    </w:p>
    <w:p>
      <w:pPr>
        <w:bidi w:val="0"/>
        <w:rPr>
          <w:rFonts w:hint="eastAsia" w:ascii="宋体" w:hAnsi="宋体" w:eastAsia="方正仿宋简体" w:cs="方正仿宋简体"/>
          <w:color w:val="auto"/>
          <w:highlight w:val="none"/>
          <w:lang w:eastAsia="zh-CN"/>
        </w:rPr>
      </w:pP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具备前瞻性</w:t>
      </w: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延续性。</w:t>
      </w:r>
      <w:r>
        <w:rPr>
          <w:rFonts w:hint="eastAsia" w:ascii="宋体" w:hAnsi="宋体" w:eastAsia="方正仿宋简体" w:cs="方正仿宋简体"/>
          <w:color w:val="auto"/>
          <w:highlight w:val="none"/>
        </w:rPr>
        <w:t>在现有加油站的基础上，科学预测成品油销售总量及成品油零售企业需求趋势，制定出具备前瞻性的加油站布点规划</w:t>
      </w:r>
      <w:r>
        <w:rPr>
          <w:rFonts w:hint="eastAsia" w:ascii="宋体" w:hAnsi="宋体" w:eastAsia="方正仿宋简体" w:cs="方正仿宋简体"/>
          <w:color w:val="auto"/>
          <w:highlight w:val="none"/>
          <w:lang w:eastAsia="zh-CN"/>
        </w:rPr>
        <w:t>，确保“</w:t>
      </w:r>
      <w:r>
        <w:rPr>
          <w:rFonts w:hint="eastAsia" w:ascii="宋体" w:hAnsi="宋体" w:eastAsia="方正仿宋简体" w:cs="方正仿宋简体"/>
          <w:color w:val="auto"/>
          <w:highlight w:val="none"/>
        </w:rPr>
        <w:t>十</w:t>
      </w:r>
      <w:r>
        <w:rPr>
          <w:rFonts w:hint="eastAsia" w:ascii="宋体" w:hAnsi="宋体" w:eastAsia="方正仿宋简体" w:cs="方正仿宋简体"/>
          <w:color w:val="auto"/>
          <w:highlight w:val="none"/>
          <w:lang w:val="en-US" w:eastAsia="zh-CN"/>
        </w:rPr>
        <w:t>四</w:t>
      </w:r>
      <w:r>
        <w:rPr>
          <w:rFonts w:hint="eastAsia" w:ascii="宋体" w:hAnsi="宋体" w:eastAsia="方正仿宋简体" w:cs="方正仿宋简体"/>
          <w:color w:val="auto"/>
          <w:highlight w:val="none"/>
        </w:rPr>
        <w:t>五</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规划中</w:t>
      </w:r>
      <w:r>
        <w:rPr>
          <w:rFonts w:hint="eastAsia" w:ascii="宋体" w:hAnsi="宋体" w:eastAsia="方正仿宋简体" w:cs="方正仿宋简体"/>
          <w:color w:val="auto"/>
          <w:highlight w:val="none"/>
          <w:lang w:eastAsia="zh-CN"/>
        </w:rPr>
        <w:t>新增布点更加符合师市经济社会发展需求</w:t>
      </w:r>
      <w:r>
        <w:rPr>
          <w:rFonts w:hint="eastAsia" w:ascii="宋体" w:hAnsi="宋体" w:eastAsia="方正仿宋简体" w:cs="方正仿宋简体"/>
          <w:color w:val="auto"/>
          <w:highlight w:val="none"/>
        </w:rPr>
        <w:t>。</w:t>
      </w:r>
      <w:r>
        <w:rPr>
          <w:rFonts w:hint="eastAsia" w:ascii="宋体" w:hAnsi="宋体" w:eastAsia="方正仿宋简体" w:cs="方正仿宋简体"/>
          <w:color w:val="auto"/>
          <w:highlight w:val="none"/>
          <w:lang w:eastAsia="zh-CN"/>
        </w:rPr>
        <w:t>并</w:t>
      </w:r>
      <w:r>
        <w:rPr>
          <w:rFonts w:hint="eastAsia" w:ascii="宋体" w:hAnsi="宋体" w:eastAsia="方正仿宋简体" w:cs="方正仿宋简体"/>
          <w:color w:val="auto"/>
          <w:highlight w:val="none"/>
        </w:rPr>
        <w:t>适当考虑</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拆一补一</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政策的延续性，切实维护成品油</w:t>
      </w:r>
      <w:r>
        <w:rPr>
          <w:rFonts w:hint="eastAsia" w:ascii="宋体" w:hAnsi="宋体" w:eastAsia="方正仿宋简体" w:cs="方正仿宋简体"/>
          <w:color w:val="auto"/>
          <w:highlight w:val="none"/>
          <w:lang w:eastAsia="zh-CN"/>
        </w:rPr>
        <w:t>零售企业</w:t>
      </w:r>
      <w:r>
        <w:rPr>
          <w:rFonts w:hint="eastAsia" w:ascii="宋体" w:hAnsi="宋体" w:eastAsia="方正仿宋简体" w:cs="方正仿宋简体"/>
          <w:color w:val="auto"/>
          <w:highlight w:val="none"/>
        </w:rPr>
        <w:t>的合法利益。</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20" w:name="_Toc2747"/>
      <w:r>
        <w:rPr>
          <w:rFonts w:hint="eastAsia" w:ascii="宋体" w:hAnsi="宋体" w:cs="Times New Roman"/>
          <w:b w:val="0"/>
          <w:bCs w:val="0"/>
          <w:color w:val="auto"/>
          <w:highlight w:val="none"/>
          <w:lang w:val="en-US" w:eastAsia="zh-CN"/>
        </w:rPr>
        <w:t xml:space="preserve">第三节 </w:t>
      </w:r>
      <w:r>
        <w:rPr>
          <w:rFonts w:hint="default" w:ascii="宋体" w:hAnsi="宋体" w:cs="Times New Roman"/>
          <w:b w:val="0"/>
          <w:bCs w:val="0"/>
          <w:color w:val="auto"/>
          <w:highlight w:val="none"/>
          <w:lang w:val="en-US" w:eastAsia="zh-CN"/>
        </w:rPr>
        <w:t>油站建设标准</w:t>
      </w:r>
      <w:bookmarkEnd w:id="20"/>
    </w:p>
    <w:p>
      <w:pPr>
        <w:pStyle w:val="5"/>
        <w:pageBreakBefore w:val="0"/>
        <w:kinsoku/>
        <w:wordWrap/>
        <w:overflowPunct/>
        <w:topLinePunct w:val="0"/>
        <w:autoSpaceDE/>
        <w:autoSpaceDN/>
        <w:bidi w:val="0"/>
        <w:adjustRightInd/>
        <w:snapToGrid/>
        <w:spacing w:line="560" w:lineRule="exact"/>
        <w:textAlignment w:val="auto"/>
        <w:rPr>
          <w:rFonts w:hint="eastAsia" w:ascii="宋体" w:hAnsi="宋体" w:eastAsia="楷体_GB2312" w:cs="楷体_GB2312"/>
          <w:b w:val="0"/>
          <w:bCs/>
          <w:color w:val="auto"/>
          <w:sz w:val="32"/>
          <w:szCs w:val="32"/>
          <w:highlight w:val="none"/>
          <w:lang w:val="en-US" w:eastAsia="zh-CN"/>
        </w:rPr>
      </w:pPr>
      <w:r>
        <w:rPr>
          <w:rFonts w:hint="eastAsia" w:ascii="宋体" w:hAnsi="宋体" w:eastAsia="楷体_GB2312" w:cs="楷体_GB2312"/>
          <w:b w:val="0"/>
          <w:bCs/>
          <w:color w:val="auto"/>
          <w:sz w:val="32"/>
          <w:szCs w:val="32"/>
          <w:highlight w:val="none"/>
          <w:lang w:eastAsia="zh-CN"/>
        </w:rPr>
        <w:t>一、</w:t>
      </w:r>
      <w:r>
        <w:rPr>
          <w:rFonts w:hint="eastAsia" w:ascii="宋体" w:hAnsi="宋体" w:eastAsia="楷体_GB2312" w:cs="楷体_GB2312"/>
          <w:b w:val="0"/>
          <w:bCs/>
          <w:color w:val="auto"/>
          <w:sz w:val="32"/>
          <w:szCs w:val="32"/>
          <w:highlight w:val="none"/>
          <w:lang w:val="en-US" w:eastAsia="zh-CN"/>
        </w:rPr>
        <w:t>基本指标标准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b/>
          <w:bCs/>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根据</w:t>
      </w:r>
      <w:r>
        <w:rPr>
          <w:rFonts w:hint="eastAsia" w:ascii="宋体" w:hAnsi="宋体" w:eastAsia="方正仿宋简体" w:cs="方正仿宋简体"/>
          <w:color w:val="auto"/>
          <w:sz w:val="32"/>
          <w:szCs w:val="32"/>
          <w:highlight w:val="none"/>
        </w:rPr>
        <w:t>《成品油零售企业管理技术规范》SB/T10390-2004</w:t>
      </w:r>
      <w:r>
        <w:rPr>
          <w:rFonts w:hint="eastAsia" w:ascii="宋体" w:hAnsi="宋体" w:eastAsia="方正仿宋简体" w:cs="方正仿宋简体"/>
          <w:color w:val="auto"/>
          <w:sz w:val="32"/>
          <w:szCs w:val="32"/>
          <w:highlight w:val="none"/>
          <w:lang w:val="en-US" w:eastAsia="zh-CN"/>
        </w:rPr>
        <w:t>要求，主要内容如下：</w:t>
      </w:r>
    </w:p>
    <w:p>
      <w:pPr>
        <w:pageBreakBefore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1.</w:t>
      </w:r>
      <w:r>
        <w:rPr>
          <w:rFonts w:hint="eastAsia" w:ascii="宋体" w:hAnsi="宋体" w:eastAsia="方正仿宋简体" w:cs="方正仿宋简体"/>
          <w:color w:val="auto"/>
          <w:sz w:val="32"/>
          <w:szCs w:val="32"/>
          <w:highlight w:val="none"/>
        </w:rPr>
        <w:t>国道、省道加油站设置</w:t>
      </w:r>
      <w:r>
        <w:rPr>
          <w:rFonts w:hint="eastAsia" w:ascii="宋体" w:hAnsi="宋体" w:eastAsia="方正仿宋简体" w:cs="方正仿宋简体"/>
          <w:color w:val="auto"/>
          <w:sz w:val="32"/>
          <w:szCs w:val="32"/>
          <w:highlight w:val="none"/>
          <w:lang w:eastAsia="zh-CN"/>
        </w:rPr>
        <w:t>：</w:t>
      </w:r>
      <w:r>
        <w:rPr>
          <w:rFonts w:hint="eastAsia" w:ascii="宋体" w:hAnsi="宋体" w:eastAsia="方正仿宋简体" w:cs="方正仿宋简体"/>
          <w:color w:val="auto"/>
          <w:sz w:val="32"/>
          <w:szCs w:val="32"/>
          <w:highlight w:val="none"/>
        </w:rPr>
        <w:t>每百公里不超过</w:t>
      </w:r>
      <w:r>
        <w:rPr>
          <w:rFonts w:hint="eastAsia" w:ascii="宋体" w:hAnsi="宋体" w:eastAsia="方正仿宋简体" w:cs="方正仿宋简体"/>
          <w:color w:val="auto"/>
          <w:sz w:val="32"/>
          <w:szCs w:val="32"/>
          <w:highlight w:val="none"/>
          <w:lang w:eastAsia="zh-CN"/>
        </w:rPr>
        <w:t>6</w:t>
      </w:r>
      <w:r>
        <w:rPr>
          <w:rFonts w:hint="eastAsia" w:ascii="宋体" w:hAnsi="宋体" w:eastAsia="方正仿宋简体" w:cs="方正仿宋简体"/>
          <w:color w:val="auto"/>
          <w:sz w:val="32"/>
          <w:szCs w:val="32"/>
          <w:highlight w:val="none"/>
        </w:rPr>
        <w:t>对</w:t>
      </w:r>
      <w:r>
        <w:rPr>
          <w:rFonts w:hint="eastAsia" w:ascii="宋体" w:hAnsi="宋体" w:eastAsia="方正仿宋简体" w:cs="方正仿宋简体"/>
          <w:color w:val="auto"/>
          <w:sz w:val="32"/>
          <w:szCs w:val="32"/>
          <w:highlight w:val="none"/>
          <w:lang w:eastAsia="zh-CN"/>
        </w:rPr>
        <w:t>（</w:t>
      </w:r>
      <w:r>
        <w:rPr>
          <w:rFonts w:hint="eastAsia" w:ascii="宋体" w:hAnsi="宋体" w:eastAsia="方正仿宋简体" w:cs="方正仿宋简体"/>
          <w:color w:val="auto"/>
          <w:sz w:val="32"/>
          <w:szCs w:val="32"/>
          <w:highlight w:val="none"/>
          <w:lang w:val="en-US" w:eastAsia="zh-CN"/>
        </w:rPr>
        <w:t>12座）</w:t>
      </w:r>
      <w:r>
        <w:rPr>
          <w:rFonts w:hint="eastAsia" w:ascii="宋体" w:hAnsi="宋体" w:eastAsia="方正仿宋简体" w:cs="方正仿宋简体"/>
          <w:color w:val="auto"/>
          <w:sz w:val="32"/>
          <w:szCs w:val="32"/>
          <w:highlight w:val="none"/>
          <w:lang w:eastAsia="zh-CN"/>
        </w:rPr>
        <w:t>，</w:t>
      </w:r>
      <w:r>
        <w:rPr>
          <w:rFonts w:hint="eastAsia" w:ascii="宋体" w:hAnsi="宋体" w:eastAsia="方正仿宋简体" w:cs="方正仿宋简体"/>
          <w:color w:val="auto"/>
          <w:sz w:val="32"/>
          <w:szCs w:val="32"/>
          <w:highlight w:val="none"/>
        </w:rPr>
        <w:t>即在总量符合要求的基础上，与相邻加油站车行距离原则上不低于8公里，在道路设置隔离带的情况下，可根据车流量酌情设置对站；国省道穿越城区的路段可参照城区加油站设置原则；布点类型为国省道加油站的，若所在道路与城区道路交叉，与城区已有最近加油站的车</w:t>
      </w:r>
      <w:r>
        <w:rPr>
          <w:rFonts w:hint="eastAsia" w:ascii="宋体" w:hAnsi="宋体" w:eastAsia="方正仿宋简体" w:cs="方正仿宋简体"/>
          <w:color w:val="auto"/>
          <w:sz w:val="32"/>
          <w:szCs w:val="32"/>
          <w:highlight w:val="none"/>
          <w:lang w:val="en-US" w:eastAsia="zh-CN"/>
        </w:rPr>
        <w:t>行距离不得低于1.8公里，若所在道路与县乡道交叉，与县乡道已有最近加油站的车行距离不得低于8公里。</w:t>
      </w:r>
    </w:p>
    <w:p>
      <w:pPr>
        <w:pageBreakBefore w:val="0"/>
        <w:kinsoku/>
        <w:wordWrap/>
        <w:overflowPunct/>
        <w:topLinePunct w:val="0"/>
        <w:autoSpaceDE/>
        <w:autoSpaceDN/>
        <w:bidi w:val="0"/>
        <w:adjustRightInd/>
        <w:snapToGrid/>
        <w:spacing w:before="3" w:line="560" w:lineRule="exact"/>
        <w:ind w:right="113" w:firstLine="780"/>
        <w:textAlignment w:val="auto"/>
        <w:rPr>
          <w:rFonts w:hint="eastAsia" w:ascii="宋体" w:hAnsi="宋体" w:eastAsia="方正仿宋简体" w:cs="方正仿宋简体"/>
          <w:color w:val="auto"/>
          <w:sz w:val="32"/>
          <w:szCs w:val="32"/>
          <w:highlight w:val="none"/>
          <w:lang w:eastAsia="zh-CN"/>
        </w:rPr>
      </w:pPr>
      <w:r>
        <w:rPr>
          <w:rFonts w:hint="eastAsia" w:ascii="宋体" w:hAnsi="宋体" w:eastAsia="方正仿宋简体" w:cs="方正仿宋简体"/>
          <w:color w:val="auto"/>
          <w:sz w:val="32"/>
          <w:szCs w:val="32"/>
          <w:highlight w:val="none"/>
          <w:lang w:eastAsia="zh-CN"/>
        </w:rPr>
        <w:t>2</w:t>
      </w:r>
      <w:r>
        <w:rPr>
          <w:rFonts w:hint="eastAsia" w:ascii="宋体" w:hAnsi="宋体" w:eastAsia="方正仿宋简体" w:cs="方正仿宋简体"/>
          <w:color w:val="auto"/>
          <w:sz w:val="32"/>
          <w:szCs w:val="32"/>
          <w:highlight w:val="none"/>
          <w:lang w:val="en-US" w:eastAsia="zh-CN"/>
        </w:rPr>
        <w:t>.</w:t>
      </w:r>
      <w:r>
        <w:rPr>
          <w:rFonts w:hint="eastAsia" w:ascii="宋体" w:hAnsi="宋体" w:eastAsia="方正仿宋简体" w:cs="方正仿宋简体"/>
          <w:color w:val="auto"/>
          <w:sz w:val="32"/>
          <w:szCs w:val="32"/>
          <w:highlight w:val="none"/>
        </w:rPr>
        <w:t>高速公路加油站设置</w:t>
      </w:r>
      <w:r>
        <w:rPr>
          <w:rFonts w:hint="eastAsia" w:ascii="宋体" w:hAnsi="宋体" w:eastAsia="方正仿宋简体" w:cs="方正仿宋简体"/>
          <w:color w:val="auto"/>
          <w:sz w:val="32"/>
          <w:szCs w:val="32"/>
          <w:highlight w:val="none"/>
          <w:lang w:eastAsia="zh-CN"/>
        </w:rPr>
        <w:t>：</w:t>
      </w:r>
      <w:r>
        <w:rPr>
          <w:rFonts w:hint="eastAsia" w:ascii="宋体" w:hAnsi="宋体" w:eastAsia="方正仿宋简体" w:cs="方正仿宋简体"/>
          <w:color w:val="auto"/>
          <w:spacing w:val="-8"/>
          <w:sz w:val="32"/>
          <w:szCs w:val="32"/>
        </w:rPr>
        <w:t>高速公路沿线加油站设立应与高速公路服务区</w:t>
      </w:r>
      <w:r>
        <w:rPr>
          <w:rFonts w:hint="eastAsia" w:ascii="宋体" w:hAnsi="宋体" w:eastAsia="方正仿宋简体" w:cs="方正仿宋简体"/>
          <w:color w:val="auto"/>
          <w:spacing w:val="-3"/>
          <w:sz w:val="32"/>
          <w:szCs w:val="32"/>
        </w:rPr>
        <w:t>设置相匹配,原则上每百公里不超过2对</w:t>
      </w:r>
      <w:r>
        <w:rPr>
          <w:rFonts w:hint="eastAsia" w:ascii="宋体" w:hAnsi="宋体" w:eastAsia="方正仿宋简体" w:cs="方正仿宋简体"/>
          <w:color w:val="auto"/>
          <w:spacing w:val="-3"/>
          <w:sz w:val="32"/>
          <w:szCs w:val="32"/>
          <w:lang w:eastAsia="zh-CN"/>
        </w:rPr>
        <w:t>。</w:t>
      </w:r>
    </w:p>
    <w:p>
      <w:pPr>
        <w:pageBreakBefore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color w:val="auto"/>
          <w:sz w:val="32"/>
          <w:szCs w:val="32"/>
          <w:highlight w:val="none"/>
          <w:lang w:eastAsia="zh-CN"/>
        </w:rPr>
      </w:pPr>
      <w:r>
        <w:rPr>
          <w:rFonts w:hint="eastAsia" w:ascii="宋体" w:hAnsi="宋体" w:eastAsia="方正仿宋简体" w:cs="方正仿宋简体"/>
          <w:color w:val="auto"/>
          <w:sz w:val="32"/>
          <w:szCs w:val="32"/>
          <w:highlight w:val="none"/>
          <w:lang w:val="en-US" w:eastAsia="zh-CN"/>
        </w:rPr>
        <w:t>3.</w:t>
      </w:r>
      <w:r>
        <w:rPr>
          <w:rFonts w:hint="eastAsia" w:ascii="宋体" w:hAnsi="宋体" w:eastAsia="方正仿宋简体" w:cs="方正仿宋简体"/>
          <w:color w:val="auto"/>
          <w:sz w:val="32"/>
          <w:szCs w:val="32"/>
          <w:highlight w:val="none"/>
        </w:rPr>
        <w:t>城区</w:t>
      </w:r>
      <w:r>
        <w:rPr>
          <w:rFonts w:hint="eastAsia" w:ascii="宋体" w:hAnsi="宋体" w:eastAsia="方正仿宋简体" w:cs="方正仿宋简体"/>
          <w:color w:val="auto"/>
          <w:spacing w:val="2"/>
          <w:sz w:val="32"/>
          <w:szCs w:val="32"/>
        </w:rPr>
        <w:t>(包括工业园区、物流园区)</w:t>
      </w:r>
      <w:r>
        <w:rPr>
          <w:rFonts w:hint="eastAsia" w:ascii="宋体" w:hAnsi="宋体" w:eastAsia="方正仿宋简体" w:cs="方正仿宋简体"/>
          <w:color w:val="auto"/>
          <w:spacing w:val="-66"/>
          <w:sz w:val="32"/>
          <w:szCs w:val="32"/>
        </w:rPr>
        <w:t xml:space="preserve"> </w:t>
      </w:r>
      <w:r>
        <w:rPr>
          <w:rFonts w:hint="eastAsia" w:ascii="宋体" w:hAnsi="宋体" w:eastAsia="方正仿宋简体" w:cs="方正仿宋简体"/>
          <w:color w:val="auto"/>
          <w:sz w:val="32"/>
          <w:szCs w:val="32"/>
          <w:highlight w:val="none"/>
        </w:rPr>
        <w:t>加油站的服务半径不少于0.9km</w:t>
      </w:r>
      <w:r>
        <w:rPr>
          <w:rFonts w:hint="eastAsia" w:ascii="宋体" w:hAnsi="宋体" w:eastAsia="方正仿宋简体" w:cs="方正仿宋简体"/>
          <w:color w:val="auto"/>
          <w:sz w:val="32"/>
          <w:szCs w:val="32"/>
          <w:highlight w:val="none"/>
          <w:lang w:eastAsia="zh-CN"/>
        </w:rPr>
        <w:t>，</w:t>
      </w:r>
      <w:r>
        <w:rPr>
          <w:rFonts w:hint="eastAsia" w:ascii="宋体" w:hAnsi="宋体" w:eastAsia="方正仿宋简体" w:cs="方正仿宋简体"/>
          <w:color w:val="auto"/>
          <w:sz w:val="32"/>
          <w:szCs w:val="32"/>
          <w:highlight w:val="none"/>
        </w:rPr>
        <w:t>即与周边最近加油站的车行距离不得低于</w:t>
      </w:r>
      <w:r>
        <w:rPr>
          <w:rFonts w:hint="eastAsia" w:ascii="宋体" w:hAnsi="宋体" w:eastAsia="方正仿宋简体" w:cs="方正仿宋简体"/>
          <w:color w:val="auto"/>
          <w:sz w:val="32"/>
          <w:szCs w:val="32"/>
          <w:highlight w:val="none"/>
          <w:lang w:val="en-US" w:eastAsia="zh-CN"/>
        </w:rPr>
        <w:t>1.8</w:t>
      </w:r>
      <w:r>
        <w:rPr>
          <w:rFonts w:hint="eastAsia" w:ascii="宋体" w:hAnsi="宋体" w:eastAsia="方正仿宋简体" w:cs="方正仿宋简体"/>
          <w:color w:val="auto"/>
          <w:sz w:val="32"/>
          <w:szCs w:val="32"/>
          <w:highlight w:val="none"/>
        </w:rPr>
        <w:t>公里。布局类型为城区加油站的，</w:t>
      </w:r>
      <w:r>
        <w:rPr>
          <w:rFonts w:hint="eastAsia" w:ascii="宋体" w:hAnsi="宋体" w:eastAsia="方正仿宋简体" w:cs="方正仿宋简体"/>
          <w:color w:val="auto"/>
          <w:sz w:val="32"/>
          <w:szCs w:val="32"/>
          <w:highlight w:val="none"/>
          <w:lang w:val="en-US" w:eastAsia="zh-CN"/>
        </w:rPr>
        <w:t>若</w:t>
      </w:r>
      <w:r>
        <w:rPr>
          <w:rFonts w:hint="eastAsia" w:ascii="宋体" w:hAnsi="宋体" w:eastAsia="方正仿宋简体" w:cs="方正仿宋简体"/>
          <w:color w:val="auto"/>
          <w:sz w:val="32"/>
          <w:szCs w:val="32"/>
          <w:highlight w:val="none"/>
        </w:rPr>
        <w:t>所在道路与国省道、县乡道（含村道，下同）交叉，与国省道、县乡道已有最近加油站的车行</w:t>
      </w:r>
      <w:r>
        <w:rPr>
          <w:rFonts w:hint="eastAsia" w:ascii="宋体" w:hAnsi="宋体" w:eastAsia="方正仿宋简体" w:cs="方正仿宋简体"/>
          <w:color w:val="auto"/>
          <w:sz w:val="32"/>
          <w:szCs w:val="32"/>
          <w:highlight w:val="none"/>
          <w:lang w:eastAsia="zh-CN"/>
        </w:rPr>
        <w:t>距离</w:t>
      </w:r>
      <w:r>
        <w:rPr>
          <w:rFonts w:hint="eastAsia" w:ascii="宋体" w:hAnsi="宋体" w:eastAsia="方正仿宋简体" w:cs="方正仿宋简体"/>
          <w:color w:val="auto"/>
          <w:sz w:val="32"/>
          <w:szCs w:val="32"/>
          <w:highlight w:val="none"/>
        </w:rPr>
        <w:t>不得</w:t>
      </w:r>
      <w:r>
        <w:rPr>
          <w:rFonts w:hint="eastAsia" w:ascii="宋体" w:hAnsi="宋体" w:eastAsia="方正仿宋简体" w:cs="方正仿宋简体"/>
          <w:color w:val="auto"/>
          <w:sz w:val="32"/>
          <w:szCs w:val="32"/>
          <w:highlight w:val="none"/>
          <w:lang w:eastAsia="zh-CN"/>
        </w:rPr>
        <w:t>低于</w:t>
      </w:r>
      <w:r>
        <w:rPr>
          <w:rFonts w:hint="eastAsia" w:ascii="宋体" w:hAnsi="宋体" w:eastAsia="方正仿宋简体" w:cs="方正仿宋简体"/>
          <w:color w:val="auto"/>
          <w:sz w:val="32"/>
          <w:szCs w:val="32"/>
          <w:highlight w:val="none"/>
          <w:lang w:val="en-US" w:eastAsia="zh-CN"/>
        </w:rPr>
        <w:t>1.8</w:t>
      </w:r>
      <w:r>
        <w:rPr>
          <w:rFonts w:hint="eastAsia" w:ascii="宋体" w:hAnsi="宋体" w:eastAsia="方正仿宋简体" w:cs="方正仿宋简体"/>
          <w:color w:val="auto"/>
          <w:sz w:val="32"/>
          <w:szCs w:val="32"/>
          <w:highlight w:val="none"/>
        </w:rPr>
        <w:t>公里</w:t>
      </w:r>
      <w:r>
        <w:rPr>
          <w:rFonts w:hint="eastAsia" w:ascii="宋体" w:hAnsi="宋体" w:eastAsia="方正仿宋简体" w:cs="方正仿宋简体"/>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z w:val="32"/>
          <w:szCs w:val="32"/>
          <w:highlight w:val="none"/>
          <w:lang w:val="en-US" w:eastAsia="zh-CN"/>
        </w:rPr>
      </w:pPr>
      <w:r>
        <w:rPr>
          <w:rFonts w:hint="eastAsia" w:ascii="宋体" w:hAnsi="宋体" w:eastAsia="方正仿宋简体" w:cs="方正仿宋简体"/>
          <w:color w:val="auto"/>
          <w:sz w:val="32"/>
          <w:szCs w:val="32"/>
          <w:highlight w:val="none"/>
          <w:lang w:val="en-US" w:eastAsia="zh-CN"/>
        </w:rPr>
        <w:t>4.县乡道公路沿线原则上百公里不超过10座，即在总量符合要求的基础上，与相邻加油站车行距离原则上不低于10公里。</w:t>
      </w:r>
      <w:r>
        <w:rPr>
          <w:rFonts w:hint="eastAsia" w:ascii="宋体" w:hAnsi="宋体" w:eastAsia="方正仿宋简体" w:cs="方正仿宋简体"/>
          <w:color w:val="auto"/>
          <w:sz w:val="32"/>
          <w:szCs w:val="32"/>
        </w:rPr>
        <w:t>在总量符合要求的前提下，途经村镇的路段，可根据实际需要，适当增设加油站布点，增设的加油站与相邻加油站车行距离原则上不低于5公里。</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ascii="宋体" w:hAnsi="宋体" w:eastAsia="楷体_GB2312" w:cs="楷体_GB2312"/>
          <w:b w:val="0"/>
          <w:bCs/>
          <w:color w:val="auto"/>
          <w:sz w:val="32"/>
          <w:szCs w:val="32"/>
          <w:highlight w:val="none"/>
          <w:lang w:eastAsia="zh-CN"/>
        </w:rPr>
      </w:pPr>
      <w:r>
        <w:rPr>
          <w:rFonts w:hint="eastAsia" w:ascii="宋体" w:hAnsi="宋体" w:eastAsia="楷体_GB2312" w:cs="楷体_GB2312"/>
          <w:b w:val="0"/>
          <w:bCs/>
          <w:color w:val="auto"/>
          <w:sz w:val="32"/>
          <w:szCs w:val="32"/>
          <w:highlight w:val="none"/>
          <w:lang w:eastAsia="zh-CN"/>
        </w:rPr>
        <w:t>二、选址定点的要求</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color w:val="auto"/>
          <w:sz w:val="32"/>
          <w:szCs w:val="32"/>
          <w:highlight w:val="none"/>
          <w:lang w:eastAsia="zh-CN"/>
        </w:rPr>
      </w:pPr>
      <w:r>
        <w:rPr>
          <w:rFonts w:hint="eastAsia" w:ascii="宋体" w:hAnsi="宋体" w:eastAsia="方正仿宋简体" w:cs="方正仿宋简体"/>
          <w:color w:val="auto"/>
          <w:sz w:val="32"/>
          <w:szCs w:val="32"/>
          <w:highlight w:val="none"/>
        </w:rPr>
        <w:t>规划从消防安全、环境保护和交通安全三个方面考虑，提出加油站规划选址定点要求</w:t>
      </w:r>
      <w:r>
        <w:rPr>
          <w:rFonts w:hint="eastAsia" w:ascii="宋体" w:hAnsi="宋体" w:eastAsia="方正仿宋简体" w:cs="方正仿宋简体"/>
          <w:color w:val="auto"/>
          <w:sz w:val="32"/>
          <w:szCs w:val="32"/>
          <w:highlight w:val="none"/>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textAlignment w:val="auto"/>
        <w:rPr>
          <w:rFonts w:hint="eastAsia" w:ascii="宋体" w:hAnsi="宋体" w:eastAsia="方正仿宋简体" w:cs="方正仿宋简体"/>
          <w:b/>
          <w:bCs/>
          <w:color w:val="auto"/>
          <w:sz w:val="32"/>
          <w:szCs w:val="32"/>
          <w:highlight w:val="none"/>
        </w:rPr>
      </w:pPr>
      <w:r>
        <w:rPr>
          <w:rFonts w:hint="eastAsia" w:ascii="宋体" w:hAnsi="宋体" w:eastAsia="方正仿宋简体" w:cs="方正仿宋简体"/>
          <w:b/>
          <w:bCs/>
          <w:color w:val="auto"/>
          <w:sz w:val="32"/>
          <w:szCs w:val="32"/>
          <w:highlight w:val="none"/>
          <w:lang w:eastAsia="zh-CN"/>
        </w:rPr>
        <w:t>消防安全</w:t>
      </w:r>
      <w:r>
        <w:rPr>
          <w:rFonts w:hint="eastAsia" w:ascii="宋体" w:hAnsi="宋体" w:eastAsia="方正仿宋简体" w:cs="方正仿宋简体"/>
          <w:b/>
          <w:bCs/>
          <w:color w:val="auto"/>
          <w:sz w:val="32"/>
          <w:szCs w:val="32"/>
          <w:highlight w:val="none"/>
        </w:rPr>
        <w:t>要求</w:t>
      </w:r>
    </w:p>
    <w:p>
      <w:pPr>
        <w:pageBreakBefore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color w:val="auto"/>
          <w:sz w:val="32"/>
          <w:szCs w:val="32"/>
          <w:lang w:val="en-US" w:eastAsia="zh-CN"/>
        </w:rPr>
      </w:pPr>
      <w:r>
        <w:rPr>
          <w:rFonts w:hint="eastAsia" w:ascii="宋体" w:hAnsi="宋体" w:eastAsia="方正仿宋简体" w:cs="方正仿宋简体"/>
          <w:color w:val="auto"/>
          <w:sz w:val="32"/>
          <w:szCs w:val="32"/>
          <w:lang w:val="en-US" w:eastAsia="zh-CN"/>
        </w:rPr>
        <w:t>1.实行消防安全条件一票否决制。</w:t>
      </w:r>
    </w:p>
    <w:p>
      <w:pPr>
        <w:pageBreakBefore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color w:val="auto"/>
          <w:sz w:val="32"/>
          <w:szCs w:val="32"/>
          <w:lang w:val="en-US" w:eastAsia="zh-CN"/>
        </w:rPr>
      </w:pPr>
      <w:r>
        <w:rPr>
          <w:rFonts w:hint="eastAsia" w:ascii="宋体" w:hAnsi="宋体" w:eastAsia="方正仿宋简体" w:cs="方正仿宋简体"/>
          <w:color w:val="auto"/>
          <w:sz w:val="32"/>
          <w:szCs w:val="32"/>
          <w:lang w:val="en-US" w:eastAsia="zh-CN"/>
        </w:rPr>
        <w:t>2.新建加油加气站，必须严格按《汽车加油加气站设计与施工规范》（GB50156-2012）、建设油气回收装置以及其他有关规定的要求。</w:t>
      </w:r>
    </w:p>
    <w:p>
      <w:pPr>
        <w:pageBreakBefore w:val="0"/>
        <w:kinsoku/>
        <w:wordWrap/>
        <w:overflowPunct/>
        <w:topLinePunct w:val="0"/>
        <w:autoSpaceDE/>
        <w:autoSpaceDN/>
        <w:bidi w:val="0"/>
        <w:adjustRightInd/>
        <w:snapToGrid/>
        <w:spacing w:line="560" w:lineRule="exact"/>
        <w:textAlignment w:val="auto"/>
        <w:rPr>
          <w:rFonts w:hint="eastAsia" w:ascii="宋体" w:hAnsi="宋体" w:eastAsia="方正仿宋简体" w:cs="方正仿宋简体"/>
          <w:color w:val="auto"/>
          <w:sz w:val="32"/>
          <w:szCs w:val="32"/>
          <w:lang w:val="en-US" w:eastAsia="zh-CN"/>
        </w:rPr>
      </w:pPr>
      <w:r>
        <w:rPr>
          <w:rFonts w:hint="eastAsia" w:ascii="宋体" w:hAnsi="宋体" w:eastAsia="方正仿宋简体" w:cs="方正仿宋简体"/>
          <w:color w:val="auto"/>
          <w:sz w:val="32"/>
          <w:szCs w:val="32"/>
          <w:lang w:val="en-US" w:eastAsia="zh-CN"/>
        </w:rPr>
        <w:t>3.对迁建、改造加油站视同新建管理，必须经过安全生产部门预审合格并出具安全预评价报告；加油站的经营设施应与安全防范设施同时设计、同时施工、同时验收。对限期整改未达到国家标准的加油站，要予以关闭。</w:t>
      </w:r>
    </w:p>
    <w:p>
      <w:pPr>
        <w:pageBreakBefore w:val="0"/>
        <w:kinsoku/>
        <w:wordWrap/>
        <w:overflowPunct/>
        <w:topLinePunct w:val="0"/>
        <w:autoSpaceDE/>
        <w:autoSpaceDN/>
        <w:bidi w:val="0"/>
        <w:adjustRightInd/>
        <w:snapToGrid/>
        <w:spacing w:line="560" w:lineRule="exact"/>
        <w:textAlignment w:val="auto"/>
        <w:rPr>
          <w:rFonts w:hint="default" w:ascii="宋体" w:hAnsi="宋体" w:cs="Times New Roman"/>
          <w:color w:val="auto"/>
          <w:lang w:val="en-US" w:eastAsia="zh-CN"/>
        </w:rPr>
      </w:pPr>
      <w:r>
        <w:rPr>
          <w:rFonts w:hint="eastAsia" w:ascii="宋体" w:hAnsi="宋体" w:eastAsia="方正仿宋简体" w:cs="方正仿宋简体"/>
          <w:color w:val="auto"/>
          <w:sz w:val="32"/>
          <w:szCs w:val="32"/>
          <w:lang w:val="en-US" w:eastAsia="zh-CN"/>
        </w:rPr>
        <w:t>4.根据《汽车加油加气站设计与施工规范》（GB50156-2012）要求，控制加油站与周边构筑物安全距离。</w:t>
      </w:r>
    </w:p>
    <w:p>
      <w:pPr>
        <w:bidi w:val="0"/>
        <w:ind w:left="0" w:leftChars="0" w:firstLine="0" w:firstLineChars="0"/>
        <w:jc w:val="center"/>
        <w:rPr>
          <w:rFonts w:hint="default" w:ascii="宋体" w:hAnsi="宋体" w:cs="Times New Roman"/>
          <w:b/>
          <w:bCs/>
          <w:color w:val="auto"/>
          <w:sz w:val="28"/>
          <w:szCs w:val="28"/>
          <w:highlight w:val="none"/>
        </w:rPr>
      </w:pPr>
      <w:r>
        <w:rPr>
          <w:rFonts w:hint="default" w:ascii="宋体" w:hAnsi="宋体" w:cs="Times New Roman"/>
          <w:b/>
          <w:bCs/>
          <w:color w:val="auto"/>
          <w:sz w:val="28"/>
          <w:szCs w:val="28"/>
          <w:highlight w:val="none"/>
          <w:lang w:val="en-US" w:eastAsia="zh-CN"/>
        </w:rPr>
        <w:t xml:space="preserve">表4-1   </w:t>
      </w:r>
      <w:r>
        <w:rPr>
          <w:rFonts w:hint="default" w:ascii="宋体" w:hAnsi="宋体" w:cs="Times New Roman"/>
          <w:b/>
          <w:bCs/>
          <w:color w:val="auto"/>
          <w:sz w:val="28"/>
          <w:szCs w:val="28"/>
          <w:highlight w:val="none"/>
          <w:lang w:eastAsia="zh-CN"/>
        </w:rPr>
        <w:t>汽油设备</w:t>
      </w:r>
      <w:r>
        <w:rPr>
          <w:rFonts w:hint="default" w:ascii="宋体" w:hAnsi="宋体" w:cs="Times New Roman"/>
          <w:b/>
          <w:bCs/>
          <w:color w:val="auto"/>
          <w:sz w:val="28"/>
          <w:szCs w:val="28"/>
          <w:highlight w:val="none"/>
        </w:rPr>
        <w:t>与站外建</w:t>
      </w:r>
      <w:r>
        <w:rPr>
          <w:rFonts w:hint="default" w:ascii="宋体" w:hAnsi="宋体" w:cs="Times New Roman"/>
          <w:b/>
          <w:bCs/>
          <w:color w:val="auto"/>
          <w:sz w:val="28"/>
          <w:szCs w:val="28"/>
          <w:highlight w:val="none"/>
          <w:lang w:eastAsia="zh-CN"/>
        </w:rPr>
        <w:t>（</w:t>
      </w:r>
      <w:r>
        <w:rPr>
          <w:rFonts w:hint="default" w:ascii="宋体" w:hAnsi="宋体" w:cs="Times New Roman"/>
          <w:b/>
          <w:bCs/>
          <w:color w:val="auto"/>
          <w:sz w:val="28"/>
          <w:szCs w:val="28"/>
          <w:highlight w:val="none"/>
        </w:rPr>
        <w:t>构</w:t>
      </w:r>
      <w:r>
        <w:rPr>
          <w:rFonts w:hint="default" w:ascii="宋体" w:hAnsi="宋体" w:cs="Times New Roman"/>
          <w:b/>
          <w:bCs/>
          <w:color w:val="auto"/>
          <w:sz w:val="28"/>
          <w:szCs w:val="28"/>
          <w:highlight w:val="none"/>
          <w:lang w:eastAsia="zh-CN"/>
        </w:rPr>
        <w:t>）</w:t>
      </w:r>
      <w:r>
        <w:rPr>
          <w:rFonts w:hint="default" w:ascii="宋体" w:hAnsi="宋体" w:cs="Times New Roman"/>
          <w:b/>
          <w:bCs/>
          <w:color w:val="auto"/>
          <w:sz w:val="28"/>
          <w:szCs w:val="28"/>
          <w:highlight w:val="none"/>
        </w:rPr>
        <w:t>筑物的</w:t>
      </w:r>
      <w:r>
        <w:rPr>
          <w:rFonts w:hint="default" w:ascii="宋体" w:hAnsi="宋体" w:cs="Times New Roman"/>
          <w:b/>
          <w:bCs/>
          <w:color w:val="auto"/>
          <w:sz w:val="28"/>
          <w:szCs w:val="28"/>
          <w:highlight w:val="none"/>
          <w:lang w:eastAsia="zh-CN"/>
        </w:rPr>
        <w:t>安全间</w:t>
      </w:r>
      <w:r>
        <w:rPr>
          <w:rFonts w:hint="default" w:ascii="宋体" w:hAnsi="宋体" w:cs="Times New Roman"/>
          <w:b/>
          <w:bCs/>
          <w:color w:val="auto"/>
          <w:sz w:val="28"/>
          <w:szCs w:val="28"/>
          <w:highlight w:val="none"/>
        </w:rPr>
        <w:t>距（m）</w:t>
      </w:r>
    </w:p>
    <w:tbl>
      <w:tblPr>
        <w:tblStyle w:val="14"/>
        <w:tblW w:w="83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3"/>
        <w:gridCol w:w="947"/>
        <w:gridCol w:w="857"/>
        <w:gridCol w:w="758"/>
        <w:gridCol w:w="752"/>
        <w:gridCol w:w="900"/>
        <w:gridCol w:w="851"/>
        <w:gridCol w:w="804"/>
        <w:gridCol w:w="930"/>
        <w:gridCol w:w="8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1600" w:type="dxa"/>
            <w:gridSpan w:val="2"/>
            <w:vMerge w:val="restart"/>
            <w:tcBorders>
              <w:top w:val="single" w:color="000000" w:sz="4" w:space="0"/>
              <w:left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站外建</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构</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筑物</w:t>
            </w:r>
          </w:p>
        </w:tc>
        <w:tc>
          <w:tcPr>
            <w:tcW w:w="6723"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站内汽油设备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4" w:hRule="atLeast"/>
        </w:trPr>
        <w:tc>
          <w:tcPr>
            <w:tcW w:w="1600" w:type="dxa"/>
            <w:gridSpan w:val="2"/>
            <w:vMerge w:val="continue"/>
            <w:tcBorders>
              <w:left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4922" w:type="dxa"/>
            <w:gridSpan w:val="6"/>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埋地油罐</w:t>
            </w:r>
          </w:p>
        </w:tc>
        <w:tc>
          <w:tcPr>
            <w:tcW w:w="1801"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加油机、通气管管口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1600" w:type="dxa"/>
            <w:gridSpan w:val="2"/>
            <w:vMerge w:val="continue"/>
            <w:tcBorders>
              <w:left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161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一级站</w:t>
            </w:r>
          </w:p>
        </w:tc>
        <w:tc>
          <w:tcPr>
            <w:tcW w:w="165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二级站</w:t>
            </w:r>
          </w:p>
        </w:tc>
        <w:tc>
          <w:tcPr>
            <w:tcW w:w="165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三级站</w:t>
            </w:r>
          </w:p>
        </w:tc>
        <w:tc>
          <w:tcPr>
            <w:tcW w:w="1801" w:type="dxa"/>
            <w:gridSpan w:val="2"/>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600" w:type="dxa"/>
            <w:gridSpan w:val="2"/>
            <w:vMerge w:val="continue"/>
            <w:tcBorders>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kern w:val="2"/>
                <w:sz w:val="24"/>
                <w:szCs w:val="24"/>
                <w:highlight w:val="none"/>
                <w:lang w:val="en-US" w:eastAsia="zh-CN" w:bidi="ar-SA"/>
              </w:rPr>
            </w:pPr>
            <w:r>
              <w:rPr>
                <w:rFonts w:hint="default" w:ascii="宋体" w:hAnsi="宋体" w:cs="Times New Roman"/>
                <w:color w:val="auto"/>
                <w:sz w:val="24"/>
                <w:szCs w:val="24"/>
                <w:highlight w:val="none"/>
                <w:lang w:eastAsia="zh-CN"/>
              </w:rPr>
              <w:t>有卸油油气回收系统</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kern w:val="2"/>
                <w:sz w:val="24"/>
                <w:szCs w:val="24"/>
                <w:highlight w:val="none"/>
                <w:lang w:val="en-US" w:eastAsia="zh-CN" w:bidi="ar-SA"/>
              </w:rPr>
            </w:pPr>
            <w:r>
              <w:rPr>
                <w:rFonts w:hint="default" w:ascii="宋体" w:hAnsi="宋体" w:cs="Times New Roman"/>
                <w:color w:val="auto"/>
                <w:sz w:val="24"/>
                <w:szCs w:val="24"/>
                <w:highlight w:val="none"/>
                <w:lang w:eastAsia="zh-CN"/>
              </w:rPr>
              <w:t>有卸油和加油油气回收系统</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kern w:val="2"/>
                <w:sz w:val="24"/>
                <w:szCs w:val="24"/>
                <w:highlight w:val="none"/>
                <w:lang w:val="en-US" w:eastAsia="zh-CN" w:bidi="ar-SA"/>
              </w:rPr>
            </w:pPr>
            <w:r>
              <w:rPr>
                <w:rFonts w:hint="default" w:ascii="宋体" w:hAnsi="宋体" w:cs="Times New Roman"/>
                <w:color w:val="auto"/>
                <w:sz w:val="24"/>
                <w:szCs w:val="24"/>
                <w:highlight w:val="none"/>
                <w:lang w:eastAsia="zh-CN"/>
              </w:rPr>
              <w:t>有卸油油气回收系统</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kern w:val="2"/>
                <w:sz w:val="24"/>
                <w:szCs w:val="24"/>
                <w:highlight w:val="none"/>
                <w:lang w:val="en-US" w:eastAsia="zh-CN" w:bidi="ar-SA"/>
              </w:rPr>
            </w:pPr>
            <w:r>
              <w:rPr>
                <w:rFonts w:hint="default" w:ascii="宋体" w:hAnsi="宋体" w:cs="Times New Roman"/>
                <w:color w:val="auto"/>
                <w:sz w:val="24"/>
                <w:szCs w:val="24"/>
                <w:highlight w:val="none"/>
                <w:lang w:eastAsia="zh-CN"/>
              </w:rPr>
              <w:t>有卸油和加油油气回收系统</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eastAsia="zh-CN"/>
              </w:rPr>
              <w:t>有卸油油气回收系统</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kern w:val="2"/>
                <w:sz w:val="24"/>
                <w:szCs w:val="24"/>
                <w:highlight w:val="none"/>
                <w:lang w:val="en-US" w:eastAsia="zh-CN" w:bidi="ar-SA"/>
              </w:rPr>
            </w:pPr>
            <w:r>
              <w:rPr>
                <w:rFonts w:hint="default" w:ascii="宋体" w:hAnsi="宋体" w:cs="Times New Roman"/>
                <w:color w:val="auto"/>
                <w:sz w:val="24"/>
                <w:szCs w:val="24"/>
                <w:highlight w:val="none"/>
                <w:lang w:eastAsia="zh-CN"/>
              </w:rPr>
              <w:t>有卸油和加油油气回收系统</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eastAsia="zh-CN"/>
              </w:rPr>
              <w:t>有卸油油气回收系统</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kern w:val="2"/>
                <w:sz w:val="24"/>
                <w:szCs w:val="24"/>
                <w:highlight w:val="none"/>
                <w:lang w:val="en-US" w:eastAsia="zh-CN" w:bidi="ar-SA"/>
              </w:rPr>
            </w:pPr>
            <w:r>
              <w:rPr>
                <w:rFonts w:hint="default" w:ascii="宋体" w:hAnsi="宋体" w:cs="Times New Roman"/>
                <w:color w:val="auto"/>
                <w:sz w:val="24"/>
                <w:szCs w:val="24"/>
                <w:highlight w:val="none"/>
                <w:lang w:eastAsia="zh-CN"/>
              </w:rPr>
              <w:t>有卸油和加油油气回收系统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600"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重要公共建筑物</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40</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35</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40</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35</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40</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35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40</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1600"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明火地点或散发火花地点</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24</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21</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20</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14.5</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14.5</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0" w:hRule="atLeast"/>
        </w:trPr>
        <w:tc>
          <w:tcPr>
            <w:tcW w:w="65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民用建筑物保护类别</w:t>
            </w:r>
          </w:p>
        </w:tc>
        <w:tc>
          <w:tcPr>
            <w:tcW w:w="94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一类保护物</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20</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16</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13</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11</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13</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2" w:hRule="atLeast"/>
        </w:trPr>
        <w:tc>
          <w:tcPr>
            <w:tcW w:w="653"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94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二类保护物</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16</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13</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11</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9.5</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8.5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9.5</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653"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94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三类保护物</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13</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11</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9.5</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8.5</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8</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7</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8</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9" w:hRule="atLeast"/>
        </w:trPr>
        <w:tc>
          <w:tcPr>
            <w:tcW w:w="1600"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甲、乙类物品生产厂房、库房和甲、乙类液体储罐</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20</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15.5</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14.5</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14.5</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94" w:hRule="atLeast"/>
        </w:trPr>
        <w:tc>
          <w:tcPr>
            <w:tcW w:w="1600"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丙、丁、戊类物品生产厂房、库房和丙类液体储罐以及单罐容积不大于50m</w:t>
            </w:r>
            <w:r>
              <w:rPr>
                <w:rFonts w:hint="default" w:ascii="宋体" w:hAnsi="宋体" w:cs="Times New Roman"/>
                <w:color w:val="auto"/>
                <w:sz w:val="24"/>
                <w:szCs w:val="24"/>
                <w:highlight w:val="none"/>
                <w:vertAlign w:val="superscript"/>
              </w:rPr>
              <w:t>3</w:t>
            </w:r>
            <w:r>
              <w:rPr>
                <w:rFonts w:hint="default" w:ascii="宋体" w:hAnsi="宋体" w:cs="Times New Roman"/>
                <w:color w:val="auto"/>
                <w:sz w:val="24"/>
                <w:szCs w:val="24"/>
                <w:highlight w:val="none"/>
              </w:rPr>
              <w:t>的埋地甲、乙类液体储罐</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14.5</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12.5</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13</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11</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10.5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1600"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室外变配电站</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20</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18</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15.5</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14.5</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14.5</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600"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铁路</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15.5</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15.5</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15.5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17.5</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3" w:hRule="atLeast"/>
        </w:trPr>
        <w:tc>
          <w:tcPr>
            <w:tcW w:w="65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城市道路</w:t>
            </w:r>
          </w:p>
        </w:tc>
        <w:tc>
          <w:tcPr>
            <w:tcW w:w="94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快速路</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主干路</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8</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7</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6.5</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5.5</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6.5</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4" w:hRule="atLeast"/>
        </w:trPr>
        <w:tc>
          <w:tcPr>
            <w:tcW w:w="653"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94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次干道</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支路</w:t>
            </w:r>
          </w:p>
        </w:tc>
        <w:tc>
          <w:tcPr>
            <w:tcW w:w="8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6.5</w:t>
            </w:r>
          </w:p>
        </w:tc>
        <w:tc>
          <w:tcPr>
            <w:tcW w:w="75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5.5</w:t>
            </w:r>
          </w:p>
        </w:tc>
        <w:tc>
          <w:tcPr>
            <w:tcW w:w="7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9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8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8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600"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架空通信线</w:t>
            </w:r>
            <w:r>
              <w:rPr>
                <w:rFonts w:hint="default" w:ascii="宋体" w:hAnsi="宋体" w:cs="Times New Roman"/>
                <w:color w:val="auto"/>
                <w:sz w:val="24"/>
                <w:szCs w:val="24"/>
                <w:highlight w:val="none"/>
                <w:lang w:eastAsia="zh-CN"/>
              </w:rPr>
              <w:t>和通信发射塔</w:t>
            </w:r>
          </w:p>
        </w:tc>
        <w:tc>
          <w:tcPr>
            <w:tcW w:w="161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1倍杆</w:t>
            </w:r>
            <w:r>
              <w:rPr>
                <w:rFonts w:hint="default" w:ascii="宋体" w:hAnsi="宋体" w:cs="Times New Roman"/>
                <w:color w:val="auto"/>
                <w:sz w:val="24"/>
                <w:szCs w:val="24"/>
                <w:highlight w:val="none"/>
                <w:lang w:eastAsia="zh-CN"/>
              </w:rPr>
              <w:t>（塔）</w:t>
            </w:r>
            <w:r>
              <w:rPr>
                <w:rFonts w:hint="default" w:ascii="宋体" w:hAnsi="宋体" w:cs="Times New Roman"/>
                <w:color w:val="auto"/>
                <w:sz w:val="24"/>
                <w:szCs w:val="24"/>
                <w:highlight w:val="none"/>
              </w:rPr>
              <w:t>高，且不</w:t>
            </w:r>
            <w:r>
              <w:rPr>
                <w:rFonts w:hint="default" w:ascii="宋体" w:hAnsi="宋体" w:cs="Times New Roman"/>
                <w:color w:val="auto"/>
                <w:sz w:val="24"/>
                <w:szCs w:val="24"/>
                <w:highlight w:val="none"/>
                <w:lang w:eastAsia="zh-CN"/>
              </w:rPr>
              <w:t>应</w:t>
            </w:r>
            <w:r>
              <w:rPr>
                <w:rFonts w:hint="default" w:ascii="宋体" w:hAnsi="宋体" w:cs="Times New Roman"/>
                <w:color w:val="auto"/>
                <w:sz w:val="24"/>
                <w:szCs w:val="24"/>
                <w:highlight w:val="none"/>
              </w:rPr>
              <w:t>小于5m</w:t>
            </w:r>
          </w:p>
        </w:tc>
        <w:tc>
          <w:tcPr>
            <w:tcW w:w="165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165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18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9" w:hRule="atLeast"/>
        </w:trPr>
        <w:tc>
          <w:tcPr>
            <w:tcW w:w="65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架空电力线路</w:t>
            </w:r>
          </w:p>
        </w:tc>
        <w:tc>
          <w:tcPr>
            <w:tcW w:w="94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无绝缘层</w:t>
            </w:r>
          </w:p>
        </w:tc>
        <w:tc>
          <w:tcPr>
            <w:tcW w:w="161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1.5倍杆（塔）高</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且不小于6.5m</w:t>
            </w:r>
          </w:p>
        </w:tc>
        <w:tc>
          <w:tcPr>
            <w:tcW w:w="165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1倍杆（塔）高</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 xml:space="preserve"> 且不小于6.5m</w:t>
            </w:r>
          </w:p>
        </w:tc>
        <w:tc>
          <w:tcPr>
            <w:tcW w:w="165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6.5</w:t>
            </w:r>
          </w:p>
        </w:tc>
        <w:tc>
          <w:tcPr>
            <w:tcW w:w="18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0" w:hRule="atLeast"/>
        </w:trPr>
        <w:tc>
          <w:tcPr>
            <w:tcW w:w="653"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94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有绝缘层</w:t>
            </w:r>
          </w:p>
        </w:tc>
        <w:tc>
          <w:tcPr>
            <w:tcW w:w="161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1倍杆（塔）高， 且不</w:t>
            </w:r>
            <w:r>
              <w:rPr>
                <w:rFonts w:hint="default" w:ascii="宋体" w:hAnsi="宋体" w:cs="Times New Roman"/>
                <w:color w:val="auto"/>
                <w:sz w:val="24"/>
                <w:szCs w:val="24"/>
                <w:highlight w:val="none"/>
                <w:lang w:eastAsia="zh-CN"/>
              </w:rPr>
              <w:t>应</w:t>
            </w:r>
            <w:r>
              <w:rPr>
                <w:rFonts w:hint="default" w:ascii="宋体" w:hAnsi="宋体" w:cs="Times New Roman"/>
                <w:color w:val="auto"/>
                <w:sz w:val="24"/>
                <w:szCs w:val="24"/>
                <w:highlight w:val="none"/>
              </w:rPr>
              <w:t>小于5m</w:t>
            </w:r>
          </w:p>
        </w:tc>
        <w:tc>
          <w:tcPr>
            <w:tcW w:w="165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0.75倍杆（塔） 高，且不</w:t>
            </w:r>
            <w:r>
              <w:rPr>
                <w:rFonts w:hint="default" w:ascii="宋体" w:hAnsi="宋体" w:cs="Times New Roman"/>
                <w:color w:val="auto"/>
                <w:sz w:val="24"/>
                <w:szCs w:val="24"/>
                <w:highlight w:val="none"/>
                <w:lang w:eastAsia="zh-CN"/>
              </w:rPr>
              <w:t>应</w:t>
            </w:r>
            <w:r>
              <w:rPr>
                <w:rFonts w:hint="default" w:ascii="宋体" w:hAnsi="宋体" w:cs="Times New Roman"/>
                <w:color w:val="auto"/>
                <w:sz w:val="24"/>
                <w:szCs w:val="24"/>
                <w:highlight w:val="none"/>
              </w:rPr>
              <w:t>小于5m</w:t>
            </w:r>
          </w:p>
        </w:tc>
        <w:tc>
          <w:tcPr>
            <w:tcW w:w="165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18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trPr>
        <w:tc>
          <w:tcPr>
            <w:tcW w:w="8323" w:type="dxa"/>
            <w:gridSpan w:val="10"/>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注：1、室外变、配电站指电力系统电压为35kV～500kV，且每台变压器容量在 10MV•A以上的室外变、配电站，以及工业企业的变压器总油量大于5t的室外降压变电站。其他规格的室外变、配电站或变压器按丙类物品生产厂房确定。</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2、表中道路系指机动车道路。油罐、加油机和油罐通气管管口与郊区公路的安全间距按城市道路确定，高速公路、一级和二级公路按城市快速路、主干路确定；三级和四级公路按城市次干路、支路确定。</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3、与重要公共建筑物的主要出入口（包括铁路、地铁和二级及以上公路的隧道出入口）尚不小于50m。</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4、一、二级耐火等级民用建筑物面向加油站一侧的墙为无门窗洞口的实体墙时，油罐、加油机和通气管管口与该民用建筑物的距离，不低于本表规定的安全间距的70</w:t>
            </w:r>
            <w:r>
              <w:rPr>
                <w:rFonts w:hint="default" w:ascii="宋体" w:hAnsi="宋体" w:cs="Times New Roman"/>
                <w:color w:val="auto"/>
                <w:sz w:val="24"/>
                <w:szCs w:val="24"/>
                <w:highlight w:val="none"/>
              </w:rPr>
              <w:drawing>
                <wp:inline distT="0" distB="0" distL="114300" distR="114300">
                  <wp:extent cx="60960" cy="103505"/>
                  <wp:effectExtent l="0" t="0" r="15240" b="10795"/>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a:picLocks noChangeAspect="1"/>
                          </pic:cNvPicPr>
                        </pic:nvPicPr>
                        <pic:blipFill>
                          <a:blip r:embed="rId13"/>
                          <a:stretch>
                            <a:fillRect/>
                          </a:stretch>
                        </pic:blipFill>
                        <pic:spPr>
                          <a:xfrm>
                            <a:off x="0" y="0"/>
                            <a:ext cx="60960" cy="103505"/>
                          </a:xfrm>
                          <a:prstGeom prst="rect">
                            <a:avLst/>
                          </a:prstGeom>
                          <a:noFill/>
                          <a:ln>
                            <a:noFill/>
                          </a:ln>
                        </pic:spPr>
                      </pic:pic>
                    </a:graphicData>
                  </a:graphic>
                </wp:inline>
              </w:drawing>
            </w:r>
            <w:r>
              <w:rPr>
                <w:rFonts w:hint="default" w:ascii="宋体" w:hAnsi="宋体" w:cs="Times New Roman"/>
                <w:color w:val="auto"/>
                <w:sz w:val="24"/>
                <w:szCs w:val="24"/>
                <w:highlight w:val="none"/>
              </w:rPr>
              <w:t>，并不得小于6m。</w:t>
            </w:r>
          </w:p>
        </w:tc>
      </w:tr>
    </w:tbl>
    <w:p>
      <w:pPr>
        <w:bidi w:val="0"/>
        <w:ind w:left="0" w:leftChars="0" w:firstLine="0" w:firstLineChars="0"/>
        <w:jc w:val="center"/>
        <w:rPr>
          <w:rFonts w:hint="default" w:ascii="宋体" w:hAnsi="宋体" w:cs="Times New Roman"/>
          <w:b/>
          <w:bCs/>
          <w:color w:val="auto"/>
          <w:sz w:val="28"/>
          <w:szCs w:val="28"/>
          <w:highlight w:val="none"/>
        </w:rPr>
      </w:pPr>
      <w:r>
        <w:rPr>
          <w:rFonts w:hint="default" w:ascii="宋体" w:hAnsi="宋体" w:cs="Times New Roman"/>
          <w:b/>
          <w:bCs/>
          <w:color w:val="auto"/>
          <w:sz w:val="28"/>
          <w:szCs w:val="28"/>
          <w:highlight w:val="none"/>
          <w:lang w:val="en-US" w:eastAsia="zh-CN"/>
        </w:rPr>
        <w:t xml:space="preserve">表4-2   </w:t>
      </w:r>
      <w:r>
        <w:rPr>
          <w:rFonts w:hint="default" w:ascii="宋体" w:hAnsi="宋体" w:cs="Times New Roman"/>
          <w:b/>
          <w:bCs/>
          <w:color w:val="auto"/>
          <w:sz w:val="28"/>
          <w:szCs w:val="28"/>
          <w:highlight w:val="none"/>
          <w:lang w:eastAsia="zh-CN"/>
        </w:rPr>
        <w:t>柴油设备</w:t>
      </w:r>
      <w:r>
        <w:rPr>
          <w:rFonts w:hint="default" w:ascii="宋体" w:hAnsi="宋体" w:cs="Times New Roman"/>
          <w:b/>
          <w:bCs/>
          <w:color w:val="auto"/>
          <w:sz w:val="28"/>
          <w:szCs w:val="28"/>
          <w:highlight w:val="none"/>
        </w:rPr>
        <w:t>与站外建</w:t>
      </w:r>
      <w:r>
        <w:rPr>
          <w:rFonts w:hint="default" w:ascii="宋体" w:hAnsi="宋体" w:cs="Times New Roman"/>
          <w:b/>
          <w:bCs/>
          <w:color w:val="auto"/>
          <w:sz w:val="28"/>
          <w:szCs w:val="28"/>
          <w:highlight w:val="none"/>
          <w:lang w:eastAsia="zh-CN"/>
        </w:rPr>
        <w:t>（</w:t>
      </w:r>
      <w:r>
        <w:rPr>
          <w:rFonts w:hint="default" w:ascii="宋体" w:hAnsi="宋体" w:cs="Times New Roman"/>
          <w:b/>
          <w:bCs/>
          <w:color w:val="auto"/>
          <w:sz w:val="28"/>
          <w:szCs w:val="28"/>
          <w:highlight w:val="none"/>
        </w:rPr>
        <w:t>构</w:t>
      </w:r>
      <w:r>
        <w:rPr>
          <w:rFonts w:hint="default" w:ascii="宋体" w:hAnsi="宋体" w:cs="Times New Roman"/>
          <w:b/>
          <w:bCs/>
          <w:color w:val="auto"/>
          <w:sz w:val="28"/>
          <w:szCs w:val="28"/>
          <w:highlight w:val="none"/>
          <w:lang w:eastAsia="zh-CN"/>
        </w:rPr>
        <w:t>）</w:t>
      </w:r>
      <w:r>
        <w:rPr>
          <w:rFonts w:hint="default" w:ascii="宋体" w:hAnsi="宋体" w:cs="Times New Roman"/>
          <w:b/>
          <w:bCs/>
          <w:color w:val="auto"/>
          <w:sz w:val="28"/>
          <w:szCs w:val="28"/>
          <w:highlight w:val="none"/>
        </w:rPr>
        <w:t>筑物的</w:t>
      </w:r>
      <w:r>
        <w:rPr>
          <w:rFonts w:hint="default" w:ascii="宋体" w:hAnsi="宋体" w:cs="Times New Roman"/>
          <w:b/>
          <w:bCs/>
          <w:color w:val="auto"/>
          <w:sz w:val="28"/>
          <w:szCs w:val="28"/>
          <w:highlight w:val="none"/>
          <w:lang w:eastAsia="zh-CN"/>
        </w:rPr>
        <w:t>安全间</w:t>
      </w:r>
      <w:r>
        <w:rPr>
          <w:rFonts w:hint="default" w:ascii="宋体" w:hAnsi="宋体" w:cs="Times New Roman"/>
          <w:b/>
          <w:bCs/>
          <w:color w:val="auto"/>
          <w:sz w:val="28"/>
          <w:szCs w:val="28"/>
          <w:highlight w:val="none"/>
        </w:rPr>
        <w:t>距（m）</w:t>
      </w:r>
    </w:p>
    <w:tbl>
      <w:tblPr>
        <w:tblStyle w:val="14"/>
        <w:tblW w:w="83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3"/>
        <w:gridCol w:w="1512"/>
        <w:gridCol w:w="1516"/>
        <w:gridCol w:w="1500"/>
        <w:gridCol w:w="1550"/>
        <w:gridCol w:w="15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8" w:hRule="atLeast"/>
        </w:trPr>
        <w:tc>
          <w:tcPr>
            <w:tcW w:w="2245" w:type="dxa"/>
            <w:gridSpan w:val="2"/>
            <w:vMerge w:val="restart"/>
            <w:tcBorders>
              <w:top w:val="single" w:color="000000" w:sz="4" w:space="0"/>
              <w:left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站外建</w:t>
            </w:r>
            <w:r>
              <w:rPr>
                <w:rFonts w:hint="default" w:ascii="宋体" w:hAnsi="宋体" w:cs="Times New Roman"/>
                <w:color w:val="auto"/>
                <w:sz w:val="24"/>
                <w:szCs w:val="24"/>
                <w:highlight w:val="none"/>
                <w:lang w:eastAsia="zh-CN"/>
              </w:rPr>
              <w:t>（构）</w:t>
            </w:r>
            <w:r>
              <w:rPr>
                <w:rFonts w:hint="default" w:ascii="宋体" w:hAnsi="宋体" w:cs="Times New Roman"/>
                <w:color w:val="auto"/>
                <w:sz w:val="24"/>
                <w:szCs w:val="24"/>
                <w:highlight w:val="none"/>
              </w:rPr>
              <w:t>筑物</w:t>
            </w:r>
          </w:p>
        </w:tc>
        <w:tc>
          <w:tcPr>
            <w:tcW w:w="6078"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站内</w:t>
            </w:r>
            <w:r>
              <w:rPr>
                <w:rFonts w:hint="default" w:ascii="宋体" w:hAnsi="宋体" w:cs="Times New Roman"/>
                <w:color w:val="auto"/>
                <w:sz w:val="24"/>
                <w:szCs w:val="24"/>
                <w:highlight w:val="none"/>
                <w:lang w:eastAsia="zh-CN"/>
              </w:rPr>
              <w:t>柴油</w:t>
            </w:r>
            <w:r>
              <w:rPr>
                <w:rFonts w:hint="default" w:ascii="宋体" w:hAnsi="宋体" w:cs="Times New Roman"/>
                <w:color w:val="auto"/>
                <w:sz w:val="24"/>
                <w:szCs w:val="24"/>
                <w:highlight w:val="none"/>
              </w:rPr>
              <w:t>设备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4" w:hRule="atLeast"/>
        </w:trPr>
        <w:tc>
          <w:tcPr>
            <w:tcW w:w="2245" w:type="dxa"/>
            <w:gridSpan w:val="2"/>
            <w:vMerge w:val="continue"/>
            <w:tcBorders>
              <w:left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4566"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埋地油罐</w:t>
            </w:r>
          </w:p>
        </w:tc>
        <w:tc>
          <w:tcPr>
            <w:tcW w:w="1512"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加油机、通气管管口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2245" w:type="dxa"/>
            <w:gridSpan w:val="2"/>
            <w:vMerge w:val="continue"/>
            <w:tcBorders>
              <w:left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一级站</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二级站</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三级站</w:t>
            </w:r>
          </w:p>
        </w:tc>
        <w:tc>
          <w:tcPr>
            <w:tcW w:w="1512"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224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重要公共建筑物</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25</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25</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25</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7" w:hRule="atLeast"/>
        </w:trPr>
        <w:tc>
          <w:tcPr>
            <w:tcW w:w="224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明火地点或散发火花地点</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12.5</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12.5</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10</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0" w:hRule="atLeast"/>
        </w:trPr>
        <w:tc>
          <w:tcPr>
            <w:tcW w:w="73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民用建筑物保护类别</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一类保护物</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2" w:hRule="atLeast"/>
        </w:trPr>
        <w:tc>
          <w:tcPr>
            <w:tcW w:w="733"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二类保护物</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733"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三类保护物</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9" w:hRule="atLeast"/>
        </w:trPr>
        <w:tc>
          <w:tcPr>
            <w:tcW w:w="224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甲、乙类物品生产厂房、库房和甲、乙类液体储罐</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12.5</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11</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9</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94" w:hRule="atLeast"/>
        </w:trPr>
        <w:tc>
          <w:tcPr>
            <w:tcW w:w="224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丙、丁、戊类物品生产厂房、库房和丙类液体储罐以及单罐容积不大于50m</w:t>
            </w:r>
            <w:r>
              <w:rPr>
                <w:rFonts w:hint="default" w:ascii="宋体" w:hAnsi="宋体" w:cs="Times New Roman"/>
                <w:color w:val="auto"/>
                <w:sz w:val="24"/>
                <w:szCs w:val="24"/>
                <w:highlight w:val="none"/>
                <w:vertAlign w:val="superscript"/>
              </w:rPr>
              <w:t>3</w:t>
            </w:r>
            <w:r>
              <w:rPr>
                <w:rFonts w:hint="default" w:ascii="宋体" w:hAnsi="宋体" w:cs="Times New Roman"/>
                <w:color w:val="auto"/>
                <w:sz w:val="24"/>
                <w:szCs w:val="24"/>
                <w:highlight w:val="none"/>
              </w:rPr>
              <w:t>的埋地甲、乙类液体储罐</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9</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9</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9</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2" w:hRule="atLeast"/>
        </w:trPr>
        <w:tc>
          <w:tcPr>
            <w:tcW w:w="224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室外变配电站</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15</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15</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15</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224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铁路</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15</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15</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15</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3" w:hRule="atLeast"/>
        </w:trPr>
        <w:tc>
          <w:tcPr>
            <w:tcW w:w="73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城市道路</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快速路</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主干路</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3</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3</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3</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4" w:hRule="atLeast"/>
        </w:trPr>
        <w:tc>
          <w:tcPr>
            <w:tcW w:w="733"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次干道</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支路</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仿宋" w:cs="Times New Roman"/>
                <w:color w:val="auto"/>
                <w:sz w:val="24"/>
                <w:szCs w:val="24"/>
                <w:highlight w:val="none"/>
                <w:lang w:eastAsia="zh-CN"/>
              </w:rPr>
            </w:pPr>
            <w:r>
              <w:rPr>
                <w:rFonts w:hint="default" w:ascii="宋体" w:hAnsi="宋体" w:cs="Times New Roman"/>
                <w:color w:val="auto"/>
                <w:sz w:val="24"/>
                <w:szCs w:val="24"/>
                <w:highlight w:val="none"/>
                <w:lang w:val="en-US" w:eastAsia="zh-CN"/>
              </w:rPr>
              <w:t>3</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3</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3</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2245"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eastAsia="仿宋" w:cs="Times New Roman"/>
                <w:color w:val="auto"/>
                <w:sz w:val="24"/>
                <w:szCs w:val="24"/>
                <w:highlight w:val="none"/>
                <w:lang w:eastAsia="zh-CN"/>
              </w:rPr>
            </w:pPr>
            <w:r>
              <w:rPr>
                <w:rFonts w:hint="default" w:ascii="宋体" w:hAnsi="宋体" w:cs="Times New Roman"/>
                <w:color w:val="auto"/>
                <w:sz w:val="24"/>
                <w:szCs w:val="24"/>
                <w:highlight w:val="none"/>
              </w:rPr>
              <w:t>架空通信线</w:t>
            </w:r>
            <w:r>
              <w:rPr>
                <w:rFonts w:hint="default" w:ascii="宋体" w:hAnsi="宋体" w:cs="Times New Roman"/>
                <w:color w:val="auto"/>
                <w:sz w:val="24"/>
                <w:szCs w:val="24"/>
                <w:highlight w:val="none"/>
                <w:lang w:eastAsia="zh-CN"/>
              </w:rPr>
              <w:t>和通信发射塔</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0.75</w:t>
            </w:r>
            <w:r>
              <w:rPr>
                <w:rFonts w:hint="default" w:ascii="宋体" w:hAnsi="宋体" w:cs="Times New Roman"/>
                <w:color w:val="auto"/>
                <w:sz w:val="24"/>
                <w:szCs w:val="24"/>
                <w:highlight w:val="none"/>
              </w:rPr>
              <w:t>倍杆</w:t>
            </w:r>
            <w:r>
              <w:rPr>
                <w:rFonts w:hint="default" w:ascii="宋体" w:hAnsi="宋体" w:cs="Times New Roman"/>
                <w:color w:val="auto"/>
                <w:sz w:val="24"/>
                <w:szCs w:val="24"/>
                <w:highlight w:val="none"/>
                <w:lang w:eastAsia="zh-CN"/>
              </w:rPr>
              <w:t>（塔）</w:t>
            </w:r>
            <w:r>
              <w:rPr>
                <w:rFonts w:hint="default" w:ascii="宋体" w:hAnsi="宋体" w:cs="Times New Roman"/>
                <w:color w:val="auto"/>
                <w:sz w:val="24"/>
                <w:szCs w:val="24"/>
                <w:highlight w:val="none"/>
              </w:rPr>
              <w:t>高，且不</w:t>
            </w:r>
            <w:r>
              <w:rPr>
                <w:rFonts w:hint="default" w:ascii="宋体" w:hAnsi="宋体" w:cs="Times New Roman"/>
                <w:color w:val="auto"/>
                <w:sz w:val="24"/>
                <w:szCs w:val="24"/>
                <w:highlight w:val="none"/>
                <w:lang w:eastAsia="zh-CN"/>
              </w:rPr>
              <w:t>应</w:t>
            </w:r>
            <w:r>
              <w:rPr>
                <w:rFonts w:hint="default" w:ascii="宋体" w:hAnsi="宋体" w:cs="Times New Roman"/>
                <w:color w:val="auto"/>
                <w:sz w:val="24"/>
                <w:szCs w:val="24"/>
                <w:highlight w:val="none"/>
              </w:rPr>
              <w:t>小于5m</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9" w:hRule="atLeast"/>
        </w:trPr>
        <w:tc>
          <w:tcPr>
            <w:tcW w:w="73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架空电力线路</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无绝缘层</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0.75</w:t>
            </w:r>
            <w:r>
              <w:rPr>
                <w:rFonts w:hint="default" w:ascii="宋体" w:hAnsi="宋体" w:cs="Times New Roman"/>
                <w:color w:val="auto"/>
                <w:sz w:val="24"/>
                <w:szCs w:val="24"/>
                <w:highlight w:val="none"/>
              </w:rPr>
              <w:t>倍杆（塔）高</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且不小于6.5m</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0.75</w:t>
            </w:r>
            <w:r>
              <w:rPr>
                <w:rFonts w:hint="default" w:ascii="宋体" w:hAnsi="宋体" w:cs="Times New Roman"/>
                <w:color w:val="auto"/>
                <w:sz w:val="24"/>
                <w:szCs w:val="24"/>
                <w:highlight w:val="none"/>
              </w:rPr>
              <w:t>倍杆（塔）高</w:t>
            </w:r>
            <w:r>
              <w:rPr>
                <w:rFonts w:hint="default" w:ascii="宋体" w:hAnsi="宋体" w:cs="Times New Roman"/>
                <w:color w:val="auto"/>
                <w:sz w:val="24"/>
                <w:szCs w:val="24"/>
                <w:highlight w:val="none"/>
                <w:lang w:eastAsia="zh-CN"/>
              </w:rPr>
              <w:t>，</w:t>
            </w:r>
            <w:r>
              <w:rPr>
                <w:rFonts w:hint="default" w:ascii="宋体" w:hAnsi="宋体" w:cs="Times New Roman"/>
                <w:color w:val="auto"/>
                <w:sz w:val="24"/>
                <w:szCs w:val="24"/>
                <w:highlight w:val="none"/>
              </w:rPr>
              <w:t xml:space="preserve"> 且不小于6.5m</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6.5</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0" w:hRule="atLeast"/>
        </w:trPr>
        <w:tc>
          <w:tcPr>
            <w:tcW w:w="733" w:type="dxa"/>
            <w:vMerge w:val="continue"/>
            <w:tcBorders>
              <w:top w:val="nil"/>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有绝缘层</w:t>
            </w:r>
          </w:p>
        </w:tc>
        <w:tc>
          <w:tcPr>
            <w:tcW w:w="15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0.5</w:t>
            </w:r>
            <w:r>
              <w:rPr>
                <w:rFonts w:hint="default" w:ascii="宋体" w:hAnsi="宋体" w:cs="Times New Roman"/>
                <w:color w:val="auto"/>
                <w:sz w:val="24"/>
                <w:szCs w:val="24"/>
                <w:highlight w:val="none"/>
              </w:rPr>
              <w:t>倍杆（塔）高，且不</w:t>
            </w:r>
            <w:r>
              <w:rPr>
                <w:rFonts w:hint="default" w:ascii="宋体" w:hAnsi="宋体" w:cs="Times New Roman"/>
                <w:color w:val="auto"/>
                <w:sz w:val="24"/>
                <w:szCs w:val="24"/>
                <w:highlight w:val="none"/>
                <w:lang w:eastAsia="zh-CN"/>
              </w:rPr>
              <w:t>应</w:t>
            </w:r>
            <w:r>
              <w:rPr>
                <w:rFonts w:hint="default" w:ascii="宋体" w:hAnsi="宋体" w:cs="Times New Roman"/>
                <w:color w:val="auto"/>
                <w:sz w:val="24"/>
                <w:szCs w:val="24"/>
                <w:highlight w:val="none"/>
              </w:rPr>
              <w:t>小于5m</w:t>
            </w:r>
          </w:p>
        </w:tc>
        <w:tc>
          <w:tcPr>
            <w:tcW w:w="15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0.</w:t>
            </w:r>
            <w:r>
              <w:rPr>
                <w:rFonts w:hint="default" w:ascii="宋体" w:hAnsi="宋体" w:cs="Times New Roman"/>
                <w:color w:val="auto"/>
                <w:sz w:val="24"/>
                <w:szCs w:val="24"/>
                <w:highlight w:val="none"/>
                <w:lang w:val="en-US" w:eastAsia="zh-CN"/>
              </w:rPr>
              <w:t>5</w:t>
            </w:r>
            <w:r>
              <w:rPr>
                <w:rFonts w:hint="default" w:ascii="宋体" w:hAnsi="宋体" w:cs="Times New Roman"/>
                <w:color w:val="auto"/>
                <w:sz w:val="24"/>
                <w:szCs w:val="24"/>
                <w:highlight w:val="none"/>
              </w:rPr>
              <w:t>倍杆（塔） 高，且不</w:t>
            </w:r>
            <w:r>
              <w:rPr>
                <w:rFonts w:hint="default" w:ascii="宋体" w:hAnsi="宋体" w:cs="Times New Roman"/>
                <w:color w:val="auto"/>
                <w:sz w:val="24"/>
                <w:szCs w:val="24"/>
                <w:highlight w:val="none"/>
                <w:lang w:eastAsia="zh-CN"/>
              </w:rPr>
              <w:t>应</w:t>
            </w:r>
            <w:r>
              <w:rPr>
                <w:rFonts w:hint="default" w:ascii="宋体" w:hAnsi="宋体" w:cs="Times New Roman"/>
                <w:color w:val="auto"/>
                <w:sz w:val="24"/>
                <w:szCs w:val="24"/>
                <w:highlight w:val="none"/>
              </w:rPr>
              <w:t>小于5m</w:t>
            </w:r>
          </w:p>
        </w:tc>
        <w:tc>
          <w:tcPr>
            <w:tcW w:w="15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c>
          <w:tcPr>
            <w:tcW w:w="15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92" w:hRule="atLeast"/>
        </w:trPr>
        <w:tc>
          <w:tcPr>
            <w:tcW w:w="8323" w:type="dxa"/>
            <w:gridSpan w:val="6"/>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注：1、室外变、配电站指电力系统电压为35kV～500kV，且每台变压器容量在 10MV•A以上的室外变、配电站，以及工业企业的变压器总油量大于5t的室外降压变电站。其他规格的室外变、配电站或变压器按丙类物品生产厂房确定。</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2、表中道路系指机动车道路。油罐、加油机和油罐通气管管口与郊区公路的安全间距按城市道路确定，高速公路、一级和二级公路按城市快速路、主干路确定；三级和四级公路按城市次干路、支路确定。</w:t>
            </w:r>
          </w:p>
        </w:tc>
      </w:tr>
    </w:tbl>
    <w:p>
      <w:pPr>
        <w:keepNext w:val="0"/>
        <w:keepLines w:val="0"/>
        <w:pageBreakBefore w:val="0"/>
        <w:widowControl w:val="0"/>
        <w:numPr>
          <w:ilvl w:val="0"/>
          <w:numId w:val="2"/>
        </w:numPr>
        <w:kinsoku/>
        <w:wordWrap/>
        <w:overflowPunct/>
        <w:topLinePunct w:val="0"/>
        <w:autoSpaceDE/>
        <w:autoSpaceDN/>
        <w:bidi w:val="0"/>
        <w:adjustRightInd/>
        <w:snapToGrid/>
        <w:ind w:left="0" w:leftChars="0" w:firstLine="643" w:firstLineChars="200"/>
        <w:textAlignment w:val="auto"/>
        <w:rPr>
          <w:rFonts w:hint="eastAsia" w:ascii="宋体" w:hAnsi="宋体" w:eastAsia="方正仿宋简体" w:cs="方正仿宋简体"/>
          <w:b/>
          <w:bCs/>
          <w:color w:val="auto"/>
          <w:highlight w:val="none"/>
          <w:lang w:eastAsia="zh-CN"/>
        </w:rPr>
      </w:pPr>
      <w:r>
        <w:rPr>
          <w:rFonts w:hint="eastAsia" w:ascii="宋体" w:hAnsi="宋体" w:eastAsia="方正仿宋简体" w:cs="方正仿宋简体"/>
          <w:b/>
          <w:bCs/>
          <w:color w:val="auto"/>
          <w:highlight w:val="none"/>
          <w:lang w:eastAsia="zh-CN"/>
        </w:rPr>
        <w:t>环境保护要求</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eastAsia="zh-CN"/>
        </w:rPr>
      </w:pPr>
      <w:r>
        <w:rPr>
          <w:rFonts w:hint="eastAsia" w:ascii="宋体" w:hAnsi="宋体" w:eastAsia="方正仿宋简体" w:cs="方正仿宋简体"/>
          <w:color w:val="auto"/>
          <w:highlight w:val="none"/>
          <w:lang w:val="en-US" w:eastAsia="zh-CN"/>
        </w:rPr>
        <w:t>1.新建加油站，不得占用城市公共绿地；对占用城市公共绿地的现状站点，应逐步拆除或迁建，同时应满足安全防护距离的要求</w:t>
      </w:r>
      <w:r>
        <w:rPr>
          <w:rFonts w:hint="eastAsia" w:ascii="宋体" w:hAnsi="宋体" w:eastAsia="方正仿宋简体" w:cs="方正仿宋简体"/>
          <w:color w:val="auto"/>
          <w:highlight w:val="none"/>
          <w:lang w:eastAsia="zh-CN"/>
        </w:rPr>
        <w:t>。</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rPr>
      </w:pPr>
      <w:r>
        <w:rPr>
          <w:rFonts w:hint="eastAsia" w:ascii="宋体" w:hAnsi="宋体" w:eastAsia="方正仿宋简体" w:cs="方正仿宋简体"/>
          <w:color w:val="auto"/>
          <w:lang w:val="en-US" w:eastAsia="zh-CN"/>
        </w:rPr>
        <w:t>2.</w:t>
      </w:r>
      <w:r>
        <w:rPr>
          <w:rFonts w:hint="eastAsia" w:ascii="宋体" w:hAnsi="宋体" w:eastAsia="方正仿宋简体" w:cs="方正仿宋简体"/>
          <w:color w:val="auto"/>
        </w:rPr>
        <w:t>加油站内应实施雨污水分流，含油污水、生活污水等污水必须在站内经过处理，达到现行国家排放标准时，方可排出站外污水管网。</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rPr>
      </w:pPr>
      <w:r>
        <w:rPr>
          <w:rFonts w:hint="eastAsia" w:ascii="宋体" w:hAnsi="宋体" w:eastAsia="方正仿宋简体" w:cs="方正仿宋简体"/>
          <w:color w:val="auto"/>
          <w:lang w:val="en-US" w:eastAsia="zh-CN"/>
        </w:rPr>
        <w:t>3.</w:t>
      </w:r>
      <w:r>
        <w:rPr>
          <w:rFonts w:hint="eastAsia" w:ascii="宋体" w:hAnsi="宋体" w:eastAsia="方正仿宋简体" w:cs="方正仿宋简体"/>
          <w:color w:val="auto"/>
        </w:rPr>
        <w:t>新建、迁建加油站必须进行环境评价，加油站的设计应与周边环境相协调，不应降低当地的环境质量。</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rPr>
      </w:pPr>
      <w:r>
        <w:rPr>
          <w:rFonts w:hint="eastAsia" w:ascii="宋体" w:hAnsi="宋体" w:eastAsia="方正仿宋简体" w:cs="方正仿宋简体"/>
          <w:color w:val="auto"/>
          <w:lang w:val="en-US" w:eastAsia="zh-CN"/>
        </w:rPr>
        <w:t>4.</w:t>
      </w:r>
      <w:r>
        <w:rPr>
          <w:rFonts w:hint="eastAsia" w:ascii="宋体" w:hAnsi="宋体" w:eastAsia="方正仿宋简体" w:cs="方正仿宋简体"/>
          <w:color w:val="auto"/>
        </w:rPr>
        <w:t>加油站应安装油气回收装置并正常运行，达到《加油站大气污染物排放标准》</w:t>
      </w:r>
      <w:r>
        <w:rPr>
          <w:rFonts w:hint="eastAsia" w:ascii="宋体" w:hAnsi="宋体" w:eastAsia="方正仿宋简体" w:cs="方正仿宋简体"/>
          <w:color w:val="auto"/>
          <w:lang w:eastAsia="zh-CN"/>
        </w:rPr>
        <w:t>（</w:t>
      </w:r>
      <w:r>
        <w:rPr>
          <w:rFonts w:hint="eastAsia" w:ascii="宋体" w:hAnsi="宋体" w:eastAsia="方正仿宋简体" w:cs="方正仿宋简体"/>
          <w:color w:val="auto"/>
        </w:rPr>
        <w:t>GB20952-2020</w:t>
      </w:r>
      <w:r>
        <w:rPr>
          <w:rFonts w:hint="eastAsia" w:ascii="宋体" w:hAnsi="宋体" w:eastAsia="方正仿宋简体" w:cs="方正仿宋简体"/>
          <w:color w:val="auto"/>
          <w:lang w:eastAsia="zh-CN"/>
        </w:rPr>
        <w:t>）</w:t>
      </w:r>
      <w:r>
        <w:rPr>
          <w:rFonts w:hint="eastAsia" w:ascii="宋体" w:hAnsi="宋体" w:eastAsia="方正仿宋简体" w:cs="方正仿宋简体"/>
          <w:color w:val="auto"/>
        </w:rPr>
        <w:t>，加油站应每年定期进行油气回收检测。</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lang w:eastAsia="zh-CN"/>
        </w:rPr>
      </w:pPr>
      <w:r>
        <w:rPr>
          <w:rFonts w:hint="eastAsia" w:ascii="宋体" w:hAnsi="宋体" w:eastAsia="方正仿宋简体" w:cs="方正仿宋简体"/>
          <w:color w:val="auto"/>
          <w:lang w:val="en-US" w:eastAsia="zh-CN"/>
        </w:rPr>
        <w:t>5.</w:t>
      </w:r>
      <w:r>
        <w:rPr>
          <w:rFonts w:hint="eastAsia" w:ascii="宋体" w:hAnsi="宋体" w:eastAsia="方正仿宋简体" w:cs="方正仿宋简体"/>
          <w:color w:val="auto"/>
        </w:rPr>
        <w:t>新建加油站地下油罐应设置双层罐</w:t>
      </w:r>
      <w:r>
        <w:rPr>
          <w:rFonts w:hint="eastAsia" w:ascii="宋体" w:hAnsi="宋体" w:eastAsia="方正仿宋简体" w:cs="方正仿宋简体"/>
          <w:color w:val="auto"/>
          <w:lang w:eastAsia="zh-CN"/>
        </w:rPr>
        <w:t>，输油管线应为双层复合管线，并</w:t>
      </w:r>
      <w:r>
        <w:rPr>
          <w:rFonts w:hint="eastAsia" w:ascii="宋体" w:hAnsi="宋体" w:eastAsia="方正仿宋简体" w:cs="方正仿宋简体"/>
          <w:color w:val="auto"/>
        </w:rPr>
        <w:t>安装加油站油气回收自动监控设备</w:t>
      </w:r>
      <w:r>
        <w:rPr>
          <w:rFonts w:hint="eastAsia" w:ascii="宋体" w:hAnsi="宋体" w:eastAsia="方正仿宋简体" w:cs="方正仿宋简体"/>
          <w:color w:val="auto"/>
          <w:lang w:eastAsia="zh-CN"/>
        </w:rPr>
        <w:t>及其他配套防漏、防渗监测设备</w:t>
      </w:r>
      <w:r>
        <w:rPr>
          <w:rFonts w:hint="eastAsia" w:ascii="宋体" w:hAnsi="宋体" w:eastAsia="方正仿宋简体" w:cs="方正仿宋简体"/>
          <w:color w:val="auto"/>
        </w:rPr>
        <w:t>。</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643" w:firstLineChars="200"/>
        <w:textAlignment w:val="auto"/>
        <w:rPr>
          <w:rFonts w:hint="eastAsia" w:ascii="宋体" w:hAnsi="宋体" w:eastAsia="方正仿宋简体" w:cs="方正仿宋简体"/>
          <w:b/>
          <w:bCs/>
          <w:color w:val="auto"/>
          <w:highlight w:val="none"/>
          <w:lang w:eastAsia="zh-CN"/>
        </w:rPr>
      </w:pPr>
      <w:r>
        <w:rPr>
          <w:rFonts w:hint="eastAsia" w:ascii="宋体" w:hAnsi="宋体" w:eastAsia="方正仿宋简体" w:cs="方正仿宋简体"/>
          <w:b/>
          <w:bCs/>
          <w:color w:val="auto"/>
          <w:highlight w:val="none"/>
          <w:lang w:eastAsia="zh-CN"/>
        </w:rPr>
        <w:t>交通安全要求</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1.加油站出入口的行车视距：加油站选址时必须保证站点出入口的行车视距，一般不小于100米，特殊情况下不得小于50米。</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2.与道路交叉口的距离：加油站应尽量安排在路段中间。离主干路道路交叉口不小于100米，离其他道路交叉口不小于50米。如确有必要布置在交叉口附近位置，应对加油站的出入口进行合理布局，不应影响道路交叉口通行能力。</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lang w:val="en-US" w:eastAsia="zh-CN"/>
        </w:rPr>
      </w:pPr>
      <w:r>
        <w:rPr>
          <w:rFonts w:hint="eastAsia" w:ascii="宋体" w:hAnsi="宋体" w:eastAsia="方正仿宋简体" w:cs="方正仿宋简体"/>
          <w:color w:val="auto"/>
          <w:lang w:val="en-US" w:eastAsia="zh-CN"/>
        </w:rPr>
        <w:t>3.与人口聚散点和重要公共设施的距离：加油站出口与学校、医院和住宅生活区等设施的主要出入口距离不宜小于50米，加油站出入口与桥梁引道口、隧道口、铁路平交道口、军事设施等重要设施的距离应在100米以上。在轨道交通控制保护区内不得建设加油站，轨道交通控制保护区即轨道交通地下工程结构边线、高架车站及高架线路工程结构水平投影外侧30m，以及地面车站及地面线路、车辆段、控制中心、变电站用地范围外侧20m范围以内区域。</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ascii="宋体" w:hAnsi="宋体" w:eastAsia="楷体_GB2312" w:cs="楷体_GB2312"/>
          <w:b w:val="0"/>
          <w:bCs/>
          <w:color w:val="auto"/>
          <w:sz w:val="32"/>
          <w:szCs w:val="32"/>
          <w:highlight w:val="none"/>
          <w:lang w:eastAsia="zh-CN"/>
        </w:rPr>
      </w:pPr>
      <w:r>
        <w:rPr>
          <w:rFonts w:hint="eastAsia" w:ascii="宋体" w:hAnsi="宋体" w:eastAsia="楷体_GB2312" w:cs="楷体_GB2312"/>
          <w:b w:val="0"/>
          <w:bCs/>
          <w:color w:val="auto"/>
          <w:sz w:val="32"/>
          <w:szCs w:val="32"/>
          <w:highlight w:val="none"/>
          <w:lang w:val="en-US" w:eastAsia="zh-CN"/>
        </w:rPr>
        <w:t>三、</w:t>
      </w:r>
      <w:r>
        <w:rPr>
          <w:rFonts w:hint="eastAsia" w:ascii="宋体" w:hAnsi="宋体" w:eastAsia="楷体_GB2312" w:cs="楷体_GB2312"/>
          <w:b w:val="0"/>
          <w:bCs/>
          <w:color w:val="auto"/>
          <w:sz w:val="32"/>
          <w:szCs w:val="32"/>
          <w:highlight w:val="none"/>
          <w:lang w:eastAsia="zh-CN"/>
        </w:rPr>
        <w:t>加油站等级及用地规模</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eastAsia="zh-CN"/>
        </w:rPr>
      </w:pPr>
      <w:r>
        <w:rPr>
          <w:rFonts w:hint="eastAsia" w:ascii="宋体" w:hAnsi="宋体" w:eastAsia="方正仿宋简体" w:cs="方正仿宋简体"/>
          <w:color w:val="auto"/>
          <w:highlight w:val="none"/>
          <w:lang w:eastAsia="zh-CN"/>
        </w:rPr>
        <w:t>按照《汽车加油加气站设计与施工规范》的规定，加油站的等级按油罐的容量规模划分为三级（见下表），从消防角度考虑，在城市建成区不宜建一级加油站、一级加气站和一级加油加气合建站。在城市建成区不应建一级加油站、一级加气站、一级加油加气合建站。</w:t>
      </w:r>
    </w:p>
    <w:p>
      <w:pPr>
        <w:bidi w:val="0"/>
        <w:jc w:val="center"/>
        <w:rPr>
          <w:rFonts w:hint="default" w:ascii="宋体" w:hAnsi="宋体" w:cs="Times New Roman"/>
          <w:b/>
          <w:bCs/>
          <w:color w:val="auto"/>
          <w:highlight w:val="none"/>
        </w:rPr>
      </w:pPr>
      <w:r>
        <w:rPr>
          <w:rFonts w:hint="default" w:ascii="宋体" w:hAnsi="宋体" w:cs="Times New Roman"/>
          <w:b/>
          <w:bCs/>
          <w:color w:val="auto"/>
          <w:highlight w:val="none"/>
          <w:lang w:val="en-US" w:eastAsia="zh-CN"/>
        </w:rPr>
        <w:t xml:space="preserve">表4-3   </w:t>
      </w:r>
      <w:r>
        <w:rPr>
          <w:rFonts w:hint="default" w:ascii="宋体" w:hAnsi="宋体" w:cs="Times New Roman"/>
          <w:b/>
          <w:bCs/>
          <w:color w:val="auto"/>
          <w:highlight w:val="none"/>
        </w:rPr>
        <w:t>城市公共加油站等级划分</w:t>
      </w:r>
    </w:p>
    <w:tbl>
      <w:tblPr>
        <w:tblStyle w:val="14"/>
        <w:tblW w:w="8310"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24"/>
        <w:gridCol w:w="2968"/>
        <w:gridCol w:w="311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 w:hRule="atLeast"/>
          <w:jc w:val="center"/>
        </w:trPr>
        <w:tc>
          <w:tcPr>
            <w:tcW w:w="2224" w:type="dxa"/>
            <w:vMerge w:val="restart"/>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级别</w:t>
            </w:r>
          </w:p>
        </w:tc>
        <w:tc>
          <w:tcPr>
            <w:tcW w:w="6086" w:type="dxa"/>
            <w:gridSpan w:val="2"/>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eastAsia="仿宋" w:cs="Times New Roman"/>
                <w:color w:val="auto"/>
                <w:sz w:val="24"/>
                <w:szCs w:val="24"/>
                <w:highlight w:val="none"/>
              </w:rPr>
              <w:t>油罐容量/m</w:t>
            </w:r>
            <w:r>
              <w:rPr>
                <w:rFonts w:hint="default" w:ascii="宋体" w:hAnsi="宋体" w:cs="Times New Roman"/>
                <w:color w:val="auto"/>
                <w:sz w:val="24"/>
                <w:szCs w:val="24"/>
                <w:highlight w:val="none"/>
                <w:vertAlign w:val="superscript"/>
                <w:lang w:val="en-US" w:eastAsia="zh-CN"/>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5" w:hRule="atLeast"/>
          <w:jc w:val="center"/>
        </w:trPr>
        <w:tc>
          <w:tcPr>
            <w:tcW w:w="2224"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textAlignment w:val="auto"/>
              <w:rPr>
                <w:rFonts w:hint="default" w:ascii="宋体" w:hAnsi="宋体" w:eastAsia="仿宋" w:cs="Times New Roman"/>
                <w:color w:val="auto"/>
                <w:sz w:val="24"/>
                <w:szCs w:val="24"/>
                <w:highlight w:val="none"/>
              </w:rPr>
            </w:pPr>
          </w:p>
        </w:tc>
        <w:tc>
          <w:tcPr>
            <w:tcW w:w="2968"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总容量</w:t>
            </w:r>
          </w:p>
        </w:tc>
        <w:tc>
          <w:tcPr>
            <w:tcW w:w="3118"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单罐容量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3" w:hRule="atLeast"/>
          <w:jc w:val="center"/>
        </w:trPr>
        <w:tc>
          <w:tcPr>
            <w:tcW w:w="2224"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一级</w:t>
            </w:r>
          </w:p>
        </w:tc>
        <w:tc>
          <w:tcPr>
            <w:tcW w:w="2968"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150＜V≤210</w:t>
            </w:r>
          </w:p>
        </w:tc>
        <w:tc>
          <w:tcPr>
            <w:tcW w:w="3118"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7" w:hRule="atLeast"/>
          <w:jc w:val="center"/>
        </w:trPr>
        <w:tc>
          <w:tcPr>
            <w:tcW w:w="2224"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二级</w:t>
            </w:r>
          </w:p>
        </w:tc>
        <w:tc>
          <w:tcPr>
            <w:tcW w:w="2968"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90＜V≤150</w:t>
            </w:r>
          </w:p>
        </w:tc>
        <w:tc>
          <w:tcPr>
            <w:tcW w:w="3118"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8" w:hRule="atLeast"/>
          <w:jc w:val="center"/>
        </w:trPr>
        <w:tc>
          <w:tcPr>
            <w:tcW w:w="2224"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三级</w:t>
            </w:r>
          </w:p>
        </w:tc>
        <w:tc>
          <w:tcPr>
            <w:tcW w:w="2968"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V≤90</w:t>
            </w:r>
          </w:p>
        </w:tc>
        <w:tc>
          <w:tcPr>
            <w:tcW w:w="3118" w:type="dxa"/>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jc w:val="center"/>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2" w:hRule="atLeast"/>
          <w:jc w:val="center"/>
        </w:trPr>
        <w:tc>
          <w:tcPr>
            <w:tcW w:w="8310" w:type="dxa"/>
            <w:gridSpan w:val="3"/>
            <w:vAlign w:val="center"/>
          </w:tcPr>
          <w:p>
            <w:pPr>
              <w:pStyle w:val="31"/>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0" w:firstLineChars="0"/>
              <w:textAlignment w:val="auto"/>
              <w:rPr>
                <w:rFonts w:hint="default" w:ascii="宋体" w:hAnsi="宋体" w:eastAsia="仿宋" w:cs="Times New Roman"/>
                <w:color w:val="auto"/>
                <w:sz w:val="24"/>
                <w:szCs w:val="24"/>
                <w:highlight w:val="none"/>
              </w:rPr>
            </w:pPr>
            <w:r>
              <w:rPr>
                <w:rFonts w:hint="default" w:ascii="宋体" w:hAnsi="宋体" w:eastAsia="仿宋" w:cs="Times New Roman"/>
                <w:color w:val="auto"/>
                <w:sz w:val="24"/>
                <w:szCs w:val="24"/>
                <w:highlight w:val="none"/>
              </w:rPr>
              <w:t>注：V为油罐总容积；柴油油罐容积可折半计入油罐总容积。</w:t>
            </w:r>
          </w:p>
        </w:tc>
      </w:tr>
    </w:tbl>
    <w:p>
      <w:pPr>
        <w:bidi w:val="0"/>
        <w:rPr>
          <w:rFonts w:hint="default" w:ascii="宋体" w:hAnsi="宋体" w:cs="Times New Roman"/>
          <w:color w:val="auto"/>
          <w:highlight w:val="none"/>
          <w:lang w:eastAsia="zh-CN"/>
        </w:rPr>
      </w:pPr>
      <w:r>
        <w:rPr>
          <w:rFonts w:hint="default" w:ascii="宋体" w:hAnsi="宋体" w:cs="Times New Roman"/>
          <w:color w:val="auto"/>
          <w:highlight w:val="none"/>
          <w:lang w:eastAsia="zh-CN"/>
        </w:rPr>
        <w:t>加油站的昼夜加油车次与所在区段的加油需求量有密切关系，而加油需求量（日均售油量）与其等级规模存在一定的正比关系。从我国目前加油站的设施状况和管理水平来看，确定加油站的用地规模不仅要从加油站的昼夜加油车次考虑，更应该从加油站的等级规模上考虑。即加油站的等级越高，油罐储量越大，对应的加油能力越大，加油站与周边建筑物以及内部设施之间的消防间距也越大，因而所需用地面积也就越大；反之，加油站的等级越低，所需用地面积越小。综上所述，根据我国城市现状加油站用地面积的实际情况，从可量化、可操作的角度考虑，按照加油站的等级来确定加油站的用地面积规模更直接，建议按照下表中的数值确定不同等级加油站的用地面积。</w:t>
      </w:r>
    </w:p>
    <w:p>
      <w:pPr>
        <w:bidi w:val="0"/>
        <w:jc w:val="center"/>
        <w:rPr>
          <w:rFonts w:hint="default" w:ascii="宋体" w:hAnsi="宋体" w:cs="Times New Roman"/>
          <w:b/>
          <w:bCs/>
          <w:color w:val="auto"/>
          <w:highlight w:val="none"/>
        </w:rPr>
      </w:pPr>
      <w:r>
        <w:rPr>
          <w:rFonts w:hint="default" w:ascii="宋体" w:hAnsi="宋体" w:cs="Times New Roman"/>
          <w:b/>
          <w:bCs/>
          <w:color w:val="auto"/>
          <w:highlight w:val="none"/>
          <w:lang w:val="en-US" w:eastAsia="zh-CN"/>
        </w:rPr>
        <w:t xml:space="preserve">表4-4   </w:t>
      </w:r>
      <w:r>
        <w:rPr>
          <w:rFonts w:hint="default" w:ascii="宋体" w:hAnsi="宋体" w:cs="Times New Roman"/>
          <w:b/>
          <w:bCs/>
          <w:color w:val="auto"/>
          <w:highlight w:val="none"/>
        </w:rPr>
        <w:t>城市公共加油站用地面积规模推荐值</w:t>
      </w:r>
    </w:p>
    <w:tbl>
      <w:tblPr>
        <w:tblStyle w:val="14"/>
        <w:tblW w:w="8310"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24"/>
        <w:gridCol w:w="41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3" w:hRule="atLeast"/>
          <w:jc w:val="center"/>
        </w:trPr>
        <w:tc>
          <w:tcPr>
            <w:tcW w:w="4124" w:type="dxa"/>
            <w:vAlign w:val="center"/>
          </w:tcPr>
          <w:p>
            <w:pPr>
              <w:pStyle w:val="31"/>
              <w:keepNext w:val="0"/>
              <w:keepLines w:val="0"/>
              <w:pageBreakBefore w:val="0"/>
              <w:widowControl w:val="0"/>
              <w:kinsoku/>
              <w:wordWrap/>
              <w:overflowPunct/>
              <w:topLinePunct w:val="0"/>
              <w:autoSpaceDE/>
              <w:autoSpaceDN/>
              <w:bidi w:val="0"/>
              <w:adjustRightInd/>
              <w:snapToGrid/>
              <w:spacing w:line="240" w:lineRule="auto"/>
              <w:ind w:left="0" w:leftChars="0" w:right="1384" w:firstLine="0" w:firstLineChars="0"/>
              <w:jc w:val="center"/>
              <w:textAlignment w:val="auto"/>
              <w:rPr>
                <w:rFonts w:hint="default" w:ascii="宋体" w:hAnsi="宋体" w:eastAsia="仿宋" w:cs="Times New Roman"/>
                <w:color w:val="auto"/>
                <w:sz w:val="24"/>
                <w:szCs w:val="24"/>
                <w:highlight w:val="none"/>
                <w:lang w:eastAsia="zh-CN"/>
              </w:rPr>
            </w:pPr>
            <w:r>
              <w:rPr>
                <w:rFonts w:hint="default" w:ascii="宋体" w:hAnsi="宋体" w:cs="Times New Roman"/>
                <w:color w:val="auto"/>
                <w:sz w:val="24"/>
                <w:szCs w:val="24"/>
                <w:highlight w:val="none"/>
                <w:lang w:val="en-US" w:eastAsia="zh-CN"/>
              </w:rPr>
              <w:t xml:space="preserve">           </w:t>
            </w:r>
            <w:r>
              <w:rPr>
                <w:rFonts w:hint="default" w:ascii="宋体" w:hAnsi="宋体" w:cs="Times New Roman"/>
                <w:color w:val="auto"/>
                <w:sz w:val="24"/>
                <w:szCs w:val="24"/>
                <w:highlight w:val="none"/>
                <w:lang w:eastAsia="zh-CN"/>
              </w:rPr>
              <w:t>加油站等级</w:t>
            </w:r>
          </w:p>
        </w:tc>
        <w:tc>
          <w:tcPr>
            <w:tcW w:w="4186" w:type="dxa"/>
            <w:vAlign w:val="center"/>
          </w:tcPr>
          <w:p>
            <w:pPr>
              <w:pStyle w:val="31"/>
              <w:keepNext w:val="0"/>
              <w:keepLines w:val="0"/>
              <w:pageBreakBefore w:val="0"/>
              <w:widowControl w:val="0"/>
              <w:kinsoku/>
              <w:wordWrap/>
              <w:overflowPunct/>
              <w:topLinePunct w:val="0"/>
              <w:autoSpaceDE/>
              <w:autoSpaceDN/>
              <w:bidi w:val="0"/>
              <w:adjustRightInd/>
              <w:snapToGrid/>
              <w:spacing w:line="240" w:lineRule="auto"/>
              <w:ind w:right="1102" w:firstLine="0" w:firstLineChars="0"/>
              <w:jc w:val="center"/>
              <w:textAlignment w:val="auto"/>
              <w:rPr>
                <w:rFonts w:hint="default" w:ascii="宋体" w:hAnsi="宋体" w:eastAsia="仿宋"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 xml:space="preserve">          </w:t>
            </w:r>
            <w:r>
              <w:rPr>
                <w:rFonts w:hint="default" w:ascii="宋体" w:hAnsi="宋体" w:cs="Times New Roman"/>
                <w:color w:val="auto"/>
                <w:sz w:val="24"/>
                <w:szCs w:val="24"/>
                <w:highlight w:val="none"/>
              </w:rPr>
              <w:t>用地面积范围/m</w:t>
            </w:r>
            <w:r>
              <w:rPr>
                <w:rFonts w:hint="default" w:ascii="宋体" w:hAnsi="宋体" w:cs="Times New Roman"/>
                <w:color w:val="auto"/>
                <w:sz w:val="24"/>
                <w:szCs w:val="24"/>
                <w:highlight w:val="none"/>
                <w:vertAlign w:val="superscript"/>
                <w:lang w:val="en-US" w:eastAsia="zh-CN"/>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3" w:hRule="atLeast"/>
          <w:jc w:val="center"/>
        </w:trPr>
        <w:tc>
          <w:tcPr>
            <w:tcW w:w="4124" w:type="dxa"/>
            <w:vAlign w:val="center"/>
          </w:tcPr>
          <w:p>
            <w:pPr>
              <w:pStyle w:val="31"/>
              <w:keepNext w:val="0"/>
              <w:keepLines w:val="0"/>
              <w:pageBreakBefore w:val="0"/>
              <w:widowControl w:val="0"/>
              <w:kinsoku/>
              <w:wordWrap/>
              <w:overflowPunct/>
              <w:topLinePunct w:val="0"/>
              <w:autoSpaceDE/>
              <w:autoSpaceDN/>
              <w:bidi w:val="0"/>
              <w:adjustRightInd/>
              <w:snapToGrid/>
              <w:spacing w:line="240" w:lineRule="auto"/>
              <w:ind w:left="1390" w:right="1384" w:firstLine="0" w:firstLineChars="0"/>
              <w:jc w:val="center"/>
              <w:textAlignment w:val="auto"/>
              <w:rPr>
                <w:rFonts w:hint="default" w:ascii="宋体" w:hAnsi="宋体" w:eastAsia="仿宋" w:cs="Times New Roman"/>
                <w:color w:val="auto"/>
                <w:sz w:val="24"/>
                <w:szCs w:val="24"/>
                <w:highlight w:val="none"/>
                <w:lang w:eastAsia="zh-CN"/>
              </w:rPr>
            </w:pPr>
            <w:r>
              <w:rPr>
                <w:rFonts w:hint="default" w:ascii="宋体" w:hAnsi="宋体" w:cs="Times New Roman"/>
                <w:color w:val="auto"/>
                <w:sz w:val="24"/>
                <w:szCs w:val="24"/>
                <w:highlight w:val="none"/>
                <w:lang w:eastAsia="zh-CN"/>
              </w:rPr>
              <w:t>一级</w:t>
            </w:r>
          </w:p>
        </w:tc>
        <w:tc>
          <w:tcPr>
            <w:tcW w:w="4186" w:type="dxa"/>
            <w:vAlign w:val="center"/>
          </w:tcPr>
          <w:p>
            <w:pPr>
              <w:pStyle w:val="31"/>
              <w:keepNext w:val="0"/>
              <w:keepLines w:val="0"/>
              <w:pageBreakBefore w:val="0"/>
              <w:widowControl w:val="0"/>
              <w:kinsoku/>
              <w:wordWrap/>
              <w:overflowPunct/>
              <w:topLinePunct w:val="0"/>
              <w:autoSpaceDE/>
              <w:autoSpaceDN/>
              <w:bidi w:val="0"/>
              <w:adjustRightInd/>
              <w:snapToGrid/>
              <w:spacing w:line="240" w:lineRule="auto"/>
              <w:ind w:left="1106" w:right="1101"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4</w:t>
            </w:r>
            <w:r>
              <w:rPr>
                <w:rFonts w:hint="default" w:ascii="宋体" w:hAnsi="宋体" w:cs="Times New Roman"/>
                <w:color w:val="auto"/>
                <w:sz w:val="24"/>
                <w:szCs w:val="24"/>
                <w:highlight w:val="none"/>
              </w:rPr>
              <w:t>000～</w:t>
            </w:r>
            <w:r>
              <w:rPr>
                <w:rFonts w:hint="default" w:ascii="宋体" w:hAnsi="宋体" w:cs="Times New Roman"/>
                <w:color w:val="auto"/>
                <w:sz w:val="24"/>
                <w:szCs w:val="24"/>
                <w:highlight w:val="none"/>
                <w:lang w:val="en-US" w:eastAsia="zh-CN"/>
              </w:rPr>
              <w:t>60</w:t>
            </w:r>
            <w:r>
              <w:rPr>
                <w:rFonts w:hint="default" w:ascii="宋体" w:hAnsi="宋体" w:cs="Times New Roman"/>
                <w:color w:val="auto"/>
                <w:sz w:val="24"/>
                <w:szCs w:val="24"/>
                <w:highlight w:val="none"/>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3" w:hRule="atLeast"/>
          <w:jc w:val="center"/>
        </w:trPr>
        <w:tc>
          <w:tcPr>
            <w:tcW w:w="4124" w:type="dxa"/>
            <w:vAlign w:val="center"/>
          </w:tcPr>
          <w:p>
            <w:pPr>
              <w:pStyle w:val="31"/>
              <w:keepNext w:val="0"/>
              <w:keepLines w:val="0"/>
              <w:pageBreakBefore w:val="0"/>
              <w:widowControl w:val="0"/>
              <w:kinsoku/>
              <w:wordWrap/>
              <w:overflowPunct/>
              <w:topLinePunct w:val="0"/>
              <w:autoSpaceDE/>
              <w:autoSpaceDN/>
              <w:bidi w:val="0"/>
              <w:adjustRightInd/>
              <w:snapToGrid/>
              <w:spacing w:line="240" w:lineRule="auto"/>
              <w:ind w:left="1390" w:right="1384" w:firstLine="0" w:firstLineChars="0"/>
              <w:jc w:val="center"/>
              <w:textAlignment w:val="auto"/>
              <w:rPr>
                <w:rFonts w:hint="default" w:ascii="宋体" w:hAnsi="宋体" w:eastAsia="仿宋" w:cs="Times New Roman"/>
                <w:color w:val="auto"/>
                <w:sz w:val="24"/>
                <w:szCs w:val="24"/>
                <w:highlight w:val="none"/>
                <w:lang w:eastAsia="zh-CN"/>
              </w:rPr>
            </w:pPr>
            <w:r>
              <w:rPr>
                <w:rFonts w:hint="default" w:ascii="宋体" w:hAnsi="宋体" w:cs="Times New Roman"/>
                <w:color w:val="auto"/>
                <w:sz w:val="24"/>
                <w:szCs w:val="24"/>
                <w:highlight w:val="none"/>
                <w:lang w:eastAsia="zh-CN"/>
              </w:rPr>
              <w:t>二级</w:t>
            </w:r>
          </w:p>
        </w:tc>
        <w:tc>
          <w:tcPr>
            <w:tcW w:w="4186" w:type="dxa"/>
            <w:vAlign w:val="center"/>
          </w:tcPr>
          <w:p>
            <w:pPr>
              <w:pStyle w:val="31"/>
              <w:keepNext w:val="0"/>
              <w:keepLines w:val="0"/>
              <w:pageBreakBefore w:val="0"/>
              <w:widowControl w:val="0"/>
              <w:kinsoku/>
              <w:wordWrap/>
              <w:overflowPunct/>
              <w:topLinePunct w:val="0"/>
              <w:autoSpaceDE/>
              <w:autoSpaceDN/>
              <w:bidi w:val="0"/>
              <w:adjustRightInd/>
              <w:snapToGrid/>
              <w:spacing w:line="240" w:lineRule="auto"/>
              <w:ind w:left="1106" w:right="1101"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lang w:val="en-US" w:eastAsia="zh-CN"/>
              </w:rPr>
              <w:t>30</w:t>
            </w:r>
            <w:r>
              <w:rPr>
                <w:rFonts w:hint="default" w:ascii="宋体" w:hAnsi="宋体" w:cs="Times New Roman"/>
                <w:color w:val="auto"/>
                <w:sz w:val="24"/>
                <w:szCs w:val="24"/>
                <w:highlight w:val="none"/>
              </w:rPr>
              <w:t>00～</w:t>
            </w:r>
            <w:r>
              <w:rPr>
                <w:rFonts w:hint="default" w:ascii="宋体" w:hAnsi="宋体" w:cs="Times New Roman"/>
                <w:color w:val="auto"/>
                <w:sz w:val="24"/>
                <w:szCs w:val="24"/>
                <w:highlight w:val="none"/>
                <w:lang w:val="en-US" w:eastAsia="zh-CN"/>
              </w:rPr>
              <w:t>50</w:t>
            </w:r>
            <w:r>
              <w:rPr>
                <w:rFonts w:hint="default" w:ascii="宋体" w:hAnsi="宋体" w:cs="Times New Roman"/>
                <w:color w:val="auto"/>
                <w:sz w:val="24"/>
                <w:szCs w:val="24"/>
                <w:highlight w:val="none"/>
              </w:rPr>
              <w:t>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5" w:hRule="atLeast"/>
          <w:jc w:val="center"/>
        </w:trPr>
        <w:tc>
          <w:tcPr>
            <w:tcW w:w="4124" w:type="dxa"/>
            <w:vAlign w:val="center"/>
          </w:tcPr>
          <w:p>
            <w:pPr>
              <w:pStyle w:val="31"/>
              <w:keepNext w:val="0"/>
              <w:keepLines w:val="0"/>
              <w:pageBreakBefore w:val="0"/>
              <w:widowControl w:val="0"/>
              <w:kinsoku/>
              <w:wordWrap/>
              <w:overflowPunct/>
              <w:topLinePunct w:val="0"/>
              <w:autoSpaceDE/>
              <w:autoSpaceDN/>
              <w:bidi w:val="0"/>
              <w:adjustRightInd/>
              <w:snapToGrid/>
              <w:spacing w:line="240" w:lineRule="auto"/>
              <w:ind w:left="1390" w:right="1384" w:firstLine="0" w:firstLineChars="0"/>
              <w:jc w:val="center"/>
              <w:textAlignment w:val="auto"/>
              <w:rPr>
                <w:rFonts w:hint="default" w:ascii="宋体" w:hAnsi="宋体" w:eastAsia="仿宋" w:cs="Times New Roman"/>
                <w:color w:val="auto"/>
                <w:sz w:val="24"/>
                <w:szCs w:val="24"/>
                <w:highlight w:val="none"/>
                <w:lang w:eastAsia="zh-CN"/>
              </w:rPr>
            </w:pPr>
            <w:r>
              <w:rPr>
                <w:rFonts w:hint="default" w:ascii="宋体" w:hAnsi="宋体" w:cs="Times New Roman"/>
                <w:color w:val="auto"/>
                <w:sz w:val="24"/>
                <w:szCs w:val="24"/>
                <w:highlight w:val="none"/>
                <w:lang w:eastAsia="zh-CN"/>
              </w:rPr>
              <w:t>三级</w:t>
            </w:r>
          </w:p>
        </w:tc>
        <w:tc>
          <w:tcPr>
            <w:tcW w:w="4186" w:type="dxa"/>
            <w:vAlign w:val="center"/>
          </w:tcPr>
          <w:p>
            <w:pPr>
              <w:pStyle w:val="31"/>
              <w:keepNext w:val="0"/>
              <w:keepLines w:val="0"/>
              <w:pageBreakBefore w:val="0"/>
              <w:widowControl w:val="0"/>
              <w:kinsoku/>
              <w:wordWrap/>
              <w:overflowPunct/>
              <w:topLinePunct w:val="0"/>
              <w:autoSpaceDE/>
              <w:autoSpaceDN/>
              <w:bidi w:val="0"/>
              <w:adjustRightInd/>
              <w:snapToGrid/>
              <w:spacing w:line="240" w:lineRule="auto"/>
              <w:ind w:left="1106" w:right="1101" w:firstLine="0" w:firstLineChars="0"/>
              <w:jc w:val="center"/>
              <w:textAlignment w:val="auto"/>
              <w:rPr>
                <w:rFonts w:hint="default" w:ascii="宋体" w:hAnsi="宋体" w:cs="Times New Roman"/>
                <w:color w:val="auto"/>
                <w:sz w:val="24"/>
                <w:szCs w:val="24"/>
                <w:highlight w:val="none"/>
              </w:rPr>
            </w:pPr>
            <w:r>
              <w:rPr>
                <w:rFonts w:hint="default" w:ascii="宋体" w:hAnsi="宋体" w:cs="Times New Roman"/>
                <w:color w:val="auto"/>
                <w:sz w:val="24"/>
                <w:szCs w:val="24"/>
                <w:highlight w:val="none"/>
              </w:rPr>
              <w:t>2000～</w:t>
            </w:r>
            <w:r>
              <w:rPr>
                <w:rFonts w:hint="default" w:ascii="宋体" w:hAnsi="宋体" w:cs="Times New Roman"/>
                <w:color w:val="auto"/>
                <w:sz w:val="24"/>
                <w:szCs w:val="24"/>
                <w:highlight w:val="none"/>
                <w:lang w:val="en-US" w:eastAsia="zh-CN"/>
              </w:rPr>
              <w:t>40</w:t>
            </w:r>
            <w:r>
              <w:rPr>
                <w:rFonts w:hint="default" w:ascii="宋体" w:hAnsi="宋体" w:cs="Times New Roman"/>
                <w:color w:val="auto"/>
                <w:sz w:val="24"/>
                <w:szCs w:val="24"/>
                <w:highlight w:val="none"/>
              </w:rPr>
              <w:t>00</w:t>
            </w:r>
          </w:p>
        </w:tc>
      </w:tr>
    </w:tbl>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ascii="宋体" w:hAnsi="宋体" w:eastAsia="楷体_GB2312" w:cs="楷体_GB2312"/>
          <w:b w:val="0"/>
          <w:bCs/>
          <w:color w:val="auto"/>
          <w:sz w:val="32"/>
          <w:szCs w:val="32"/>
          <w:highlight w:val="none"/>
          <w:lang w:eastAsia="zh-CN"/>
        </w:rPr>
      </w:pPr>
      <w:r>
        <w:rPr>
          <w:rFonts w:hint="default" w:ascii="宋体" w:hAnsi="宋体" w:eastAsia="楷体_GB2312" w:cs="楷体_GB2312"/>
          <w:b w:val="0"/>
          <w:bCs/>
          <w:color w:val="auto"/>
          <w:sz w:val="32"/>
          <w:szCs w:val="32"/>
          <w:highlight w:val="none"/>
          <w:lang w:val="en-US" w:eastAsia="zh-CN"/>
        </w:rPr>
        <w:t>四</w:t>
      </w:r>
      <w:r>
        <w:rPr>
          <w:rFonts w:hint="default" w:ascii="宋体" w:hAnsi="宋体" w:eastAsia="楷体_GB2312" w:cs="楷体_GB2312"/>
          <w:b w:val="0"/>
          <w:bCs/>
          <w:color w:val="auto"/>
          <w:sz w:val="32"/>
          <w:szCs w:val="32"/>
          <w:highlight w:val="none"/>
          <w:lang w:eastAsia="zh-CN"/>
        </w:rPr>
        <w:t>、加油站平面布置要求</w:t>
      </w:r>
    </w:p>
    <w:p>
      <w:pPr>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宋体" w:hAnsi="宋体" w:eastAsia="方正仿宋简体" w:cs="方正仿宋简体"/>
          <w:color w:val="auto"/>
          <w:highlight w:val="none"/>
          <w:lang w:eastAsia="zh-CN"/>
        </w:rPr>
      </w:pPr>
      <w:r>
        <w:rPr>
          <w:rFonts w:hint="eastAsia" w:ascii="宋体" w:hAnsi="宋体" w:eastAsia="方正仿宋简体" w:cs="方正仿宋简体"/>
          <w:b/>
          <w:bCs/>
          <w:color w:val="auto"/>
          <w:highlight w:val="none"/>
          <w:lang w:val="en-US" w:eastAsia="zh-CN"/>
        </w:rPr>
        <w:t>1.</w:t>
      </w:r>
      <w:r>
        <w:rPr>
          <w:rFonts w:hint="eastAsia" w:ascii="宋体" w:hAnsi="宋体" w:eastAsia="方正仿宋简体" w:cs="方正仿宋简体"/>
          <w:b/>
          <w:bCs/>
          <w:color w:val="auto"/>
          <w:highlight w:val="none"/>
          <w:lang w:eastAsia="zh-CN"/>
        </w:rPr>
        <w:t>平面尺寸：</w:t>
      </w:r>
      <w:r>
        <w:rPr>
          <w:rFonts w:hint="eastAsia" w:ascii="宋体" w:hAnsi="宋体" w:eastAsia="方正仿宋简体" w:cs="方正仿宋简体"/>
          <w:color w:val="auto"/>
          <w:highlight w:val="none"/>
          <w:lang w:eastAsia="zh-CN"/>
        </w:rPr>
        <w:t>加油站相邻道路的正面长度不小于25m，在有货柜车加油情况下不小于40m，深度不小于15m，内部车行道宽度不宜小于6</w:t>
      </w:r>
      <w:r>
        <w:rPr>
          <w:rFonts w:hint="eastAsia" w:ascii="宋体" w:hAnsi="宋体" w:eastAsia="方正仿宋简体" w:cs="方正仿宋简体"/>
          <w:color w:val="auto"/>
          <w:highlight w:val="none"/>
          <w:lang w:val="en-US" w:eastAsia="zh-CN"/>
        </w:rPr>
        <w:t>.</w:t>
      </w:r>
      <w:r>
        <w:rPr>
          <w:rFonts w:hint="eastAsia" w:ascii="宋体" w:hAnsi="宋体" w:eastAsia="方正仿宋简体" w:cs="方正仿宋简体"/>
          <w:color w:val="auto"/>
          <w:highlight w:val="none"/>
          <w:lang w:eastAsia="zh-CN"/>
        </w:rPr>
        <w:t>5m，并确保加油站外侧通道与相邻道路车行道之间有不小于3m宽的人行道。</w:t>
      </w:r>
    </w:p>
    <w:p>
      <w:pPr>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宋体" w:hAnsi="宋体" w:eastAsia="方正仿宋简体" w:cs="方正仿宋简体"/>
          <w:color w:val="auto"/>
          <w:highlight w:val="none"/>
          <w:lang w:eastAsia="zh-CN"/>
        </w:rPr>
      </w:pPr>
      <w:r>
        <w:rPr>
          <w:rFonts w:hint="eastAsia" w:ascii="宋体" w:hAnsi="宋体" w:eastAsia="方正仿宋简体" w:cs="方正仿宋简体"/>
          <w:b/>
          <w:bCs/>
          <w:color w:val="auto"/>
          <w:highlight w:val="none"/>
          <w:lang w:val="en-US" w:eastAsia="zh-CN"/>
        </w:rPr>
        <w:t>2.</w:t>
      </w:r>
      <w:r>
        <w:rPr>
          <w:rFonts w:hint="eastAsia" w:ascii="宋体" w:hAnsi="宋体" w:eastAsia="方正仿宋简体" w:cs="方正仿宋简体"/>
          <w:b/>
          <w:bCs/>
          <w:color w:val="auto"/>
          <w:highlight w:val="none"/>
          <w:lang w:eastAsia="zh-CN"/>
        </w:rPr>
        <w:t>出入口：</w:t>
      </w:r>
      <w:r>
        <w:rPr>
          <w:rFonts w:hint="eastAsia" w:ascii="宋体" w:hAnsi="宋体" w:eastAsia="方正仿宋简体" w:cs="方正仿宋简体"/>
          <w:color w:val="auto"/>
          <w:highlight w:val="none"/>
          <w:lang w:eastAsia="zh-CN"/>
        </w:rPr>
        <w:t>加油站一般设置一个入口和一个出口，并要求加油车辆右进右出，在符合消防安全和不影响临近道路交通的情况下，可设一个出入口，也可多增设一个入口或一个出口。出入口通道宽度一般不少于8.5m，纵坡不大于6</w:t>
      </w:r>
      <w:r>
        <w:rPr>
          <w:rFonts w:hint="eastAsia" w:ascii="宋体" w:hAnsi="宋体" w:eastAsia="方正仿宋简体" w:cs="方正仿宋简体"/>
          <w:color w:val="auto"/>
          <w:highlight w:val="none"/>
          <w:lang w:val="en-US" w:eastAsia="zh-CN"/>
        </w:rPr>
        <w:t>m</w:t>
      </w:r>
      <w:r>
        <w:rPr>
          <w:rFonts w:hint="eastAsia" w:ascii="宋体" w:hAnsi="宋体" w:eastAsia="方正仿宋简体" w:cs="方正仿宋简体"/>
          <w:color w:val="auto"/>
          <w:highlight w:val="none"/>
          <w:lang w:eastAsia="zh-CN"/>
        </w:rPr>
        <w:t>保证出入口车道行车的最小转弯半径，使加油车辆出入顺畅。在等级较高的道路旁（如高速公路和封闭式快速路）设置加油站时，其出入口留有足够长度的加减速缓冲车道。</w:t>
      </w:r>
    </w:p>
    <w:p>
      <w:pPr>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宋体" w:hAnsi="宋体" w:eastAsia="方正仿宋简体" w:cs="方正仿宋简体"/>
          <w:color w:val="auto"/>
          <w:highlight w:val="none"/>
          <w:lang w:eastAsia="zh-CN"/>
        </w:rPr>
      </w:pPr>
      <w:r>
        <w:rPr>
          <w:rFonts w:hint="eastAsia" w:ascii="宋体" w:hAnsi="宋体" w:eastAsia="方正仿宋简体" w:cs="方正仿宋简体"/>
          <w:b/>
          <w:bCs/>
          <w:color w:val="auto"/>
          <w:highlight w:val="none"/>
          <w:lang w:val="en-US" w:eastAsia="zh-CN"/>
        </w:rPr>
        <w:t>3.</w:t>
      </w:r>
      <w:r>
        <w:rPr>
          <w:rFonts w:hint="eastAsia" w:ascii="宋体" w:hAnsi="宋体" w:eastAsia="方正仿宋简体" w:cs="方正仿宋简体"/>
          <w:b/>
          <w:bCs/>
          <w:color w:val="auto"/>
          <w:highlight w:val="none"/>
          <w:lang w:eastAsia="zh-CN"/>
        </w:rPr>
        <w:t>候车空间：</w:t>
      </w:r>
      <w:r>
        <w:rPr>
          <w:rFonts w:hint="eastAsia" w:ascii="宋体" w:hAnsi="宋体" w:eastAsia="方正仿宋简体" w:cs="方正仿宋简体"/>
          <w:color w:val="auto"/>
          <w:highlight w:val="none"/>
          <w:lang w:eastAsia="zh-CN"/>
        </w:rPr>
        <w:t>加油站内部留有足够的车辆加油等候空间，一般不少于</w:t>
      </w:r>
      <w:r>
        <w:rPr>
          <w:rFonts w:hint="eastAsia" w:ascii="宋体" w:hAnsi="宋体" w:eastAsia="方正仿宋简体" w:cs="方正仿宋简体"/>
          <w:color w:val="auto"/>
          <w:highlight w:val="none"/>
          <w:lang w:val="en-US" w:eastAsia="zh-CN"/>
        </w:rPr>
        <w:t>4</w:t>
      </w:r>
      <w:r>
        <w:rPr>
          <w:rFonts w:hint="eastAsia" w:ascii="宋体" w:hAnsi="宋体" w:eastAsia="方正仿宋简体" w:cs="方正仿宋简体"/>
          <w:color w:val="auto"/>
          <w:highlight w:val="none"/>
          <w:lang w:eastAsia="zh-CN"/>
        </w:rPr>
        <w:t>辆车位长度的候车空间，并有利于车辆流动，避免等候加油的车辆在相临道路排队而影响交通。</w:t>
      </w:r>
    </w:p>
    <w:p>
      <w:pPr>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宋体" w:hAnsi="宋体" w:eastAsia="方正仿宋简体" w:cs="方正仿宋简体"/>
          <w:color w:val="auto"/>
          <w:highlight w:val="none"/>
          <w:lang w:eastAsia="zh-CN"/>
        </w:rPr>
      </w:pPr>
      <w:r>
        <w:rPr>
          <w:rFonts w:hint="eastAsia" w:ascii="宋体" w:hAnsi="宋体" w:eastAsia="方正仿宋简体" w:cs="方正仿宋简体"/>
          <w:b/>
          <w:bCs/>
          <w:color w:val="auto"/>
          <w:highlight w:val="none"/>
          <w:lang w:val="en-US" w:eastAsia="zh-CN"/>
        </w:rPr>
        <w:t>4.</w:t>
      </w:r>
      <w:r>
        <w:rPr>
          <w:rFonts w:hint="eastAsia" w:ascii="宋体" w:hAnsi="宋体" w:eastAsia="方正仿宋简体" w:cs="方正仿宋简体"/>
          <w:b/>
          <w:bCs/>
          <w:color w:val="auto"/>
          <w:highlight w:val="none"/>
          <w:lang w:eastAsia="zh-CN"/>
        </w:rPr>
        <w:t>防污设施：</w:t>
      </w:r>
      <w:r>
        <w:rPr>
          <w:rFonts w:hint="eastAsia" w:ascii="宋体" w:hAnsi="宋体" w:eastAsia="方正仿宋简体" w:cs="方正仿宋简体"/>
          <w:color w:val="auto"/>
          <w:highlight w:val="none"/>
          <w:lang w:eastAsia="zh-CN"/>
        </w:rPr>
        <w:t>加油站严格按照要求配置油气回收系统，加油站排放的污水经过石油截流设施（废水、油脂和残渣的截流）后才能排入城市下水道系统，否则设置单独的处理池和渗水系统。</w:t>
      </w:r>
    </w:p>
    <w:p>
      <w:pPr>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宋体" w:hAnsi="宋体" w:eastAsia="方正仿宋简体" w:cs="方正仿宋简体"/>
          <w:color w:val="auto"/>
          <w:highlight w:val="none"/>
          <w:lang w:eastAsia="zh-CN"/>
        </w:rPr>
      </w:pPr>
      <w:r>
        <w:rPr>
          <w:rFonts w:hint="eastAsia" w:ascii="宋体" w:hAnsi="宋体" w:eastAsia="方正仿宋简体" w:cs="方正仿宋简体"/>
          <w:b/>
          <w:bCs/>
          <w:color w:val="auto"/>
          <w:highlight w:val="none"/>
          <w:lang w:val="en-US" w:eastAsia="zh-CN"/>
        </w:rPr>
        <w:t>5.</w:t>
      </w:r>
      <w:r>
        <w:rPr>
          <w:rFonts w:hint="eastAsia" w:ascii="宋体" w:hAnsi="宋体" w:eastAsia="方正仿宋简体" w:cs="方正仿宋简体"/>
          <w:b/>
          <w:bCs/>
          <w:color w:val="auto"/>
          <w:highlight w:val="none"/>
          <w:lang w:eastAsia="zh-CN"/>
        </w:rPr>
        <w:t>配套建设：</w:t>
      </w:r>
      <w:r>
        <w:rPr>
          <w:rFonts w:hint="eastAsia" w:ascii="宋体" w:hAnsi="宋体" w:eastAsia="方正仿宋简体" w:cs="方正仿宋简体"/>
          <w:color w:val="auto"/>
          <w:highlight w:val="none"/>
          <w:lang w:eastAsia="zh-CN"/>
        </w:rPr>
        <w:t>为增强加油站美观效果，与城市建设融为一体，加油站临路一侧宜设置非油性植物的绿化隔离带或花坛。规定临城市快速路、城市主干路的加油站临路侧设置不小于3米绿化带，临城市次干路设置不小于2米绿化带。同时，新建加油站配建公共厕所，免费向社会开放。</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ascii="宋体" w:hAnsi="宋体" w:eastAsia="楷体_GB2312" w:cs="楷体_GB2312"/>
          <w:b w:val="0"/>
          <w:bCs/>
          <w:color w:val="auto"/>
          <w:sz w:val="32"/>
          <w:szCs w:val="32"/>
          <w:highlight w:val="none"/>
          <w:lang w:val="en-US" w:eastAsia="zh-CN"/>
        </w:rPr>
      </w:pPr>
      <w:r>
        <w:rPr>
          <w:rFonts w:hint="eastAsia" w:ascii="宋体" w:hAnsi="宋体" w:eastAsia="楷体_GB2312" w:cs="楷体_GB2312"/>
          <w:b w:val="0"/>
          <w:bCs/>
          <w:color w:val="auto"/>
          <w:sz w:val="32"/>
          <w:szCs w:val="32"/>
          <w:highlight w:val="none"/>
          <w:lang w:val="en-US" w:eastAsia="zh-CN"/>
        </w:rPr>
        <w:t>五、加油站建设要求</w:t>
      </w:r>
    </w:p>
    <w:p>
      <w:pPr>
        <w:pageBreakBefore w:val="0"/>
        <w:widowControl w:val="0"/>
        <w:kinsoku/>
        <w:wordWrap/>
        <w:overflowPunct/>
        <w:topLinePunct w:val="0"/>
        <w:autoSpaceDE/>
        <w:autoSpaceDN/>
        <w:bidi w:val="0"/>
        <w:adjustRightInd/>
        <w:snapToGrid/>
        <w:textAlignment w:val="auto"/>
        <w:rPr>
          <w:rFonts w:hint="default" w:ascii="宋体" w:hAnsi="宋体" w:cs="Times New Roman"/>
          <w:color w:val="auto"/>
          <w:highlight w:val="none"/>
          <w:lang w:val="en-US" w:eastAsia="zh-CN"/>
        </w:rPr>
      </w:pP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十</w:t>
      </w:r>
      <w:r>
        <w:rPr>
          <w:rFonts w:hint="eastAsia" w:ascii="宋体" w:hAnsi="宋体" w:eastAsia="方正仿宋简体" w:cs="方正仿宋简体"/>
          <w:color w:val="auto"/>
          <w:highlight w:val="none"/>
          <w:lang w:eastAsia="zh-CN"/>
        </w:rPr>
        <w:t>四</w:t>
      </w:r>
      <w:r>
        <w:rPr>
          <w:rFonts w:hint="eastAsia" w:ascii="宋体" w:hAnsi="宋体" w:eastAsia="方正仿宋简体" w:cs="方正仿宋简体"/>
          <w:color w:val="auto"/>
          <w:highlight w:val="none"/>
        </w:rPr>
        <w:t>五</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期间，</w:t>
      </w:r>
      <w:r>
        <w:rPr>
          <w:rFonts w:hint="eastAsia" w:ascii="宋体" w:hAnsi="宋体" w:eastAsia="方正仿宋简体" w:cs="方正仿宋简体"/>
          <w:color w:val="auto"/>
          <w:highlight w:val="none"/>
          <w:lang w:eastAsia="zh-CN"/>
        </w:rPr>
        <w:t>师市新建</w:t>
      </w:r>
      <w:r>
        <w:rPr>
          <w:rFonts w:hint="eastAsia" w:ascii="宋体" w:hAnsi="宋体" w:eastAsia="方正仿宋简体" w:cs="方正仿宋简体"/>
          <w:color w:val="auto"/>
          <w:highlight w:val="none"/>
        </w:rPr>
        <w:t>加油站点</w:t>
      </w:r>
      <w:r>
        <w:rPr>
          <w:rFonts w:hint="eastAsia" w:ascii="宋体" w:hAnsi="宋体" w:eastAsia="方正仿宋简体" w:cs="方正仿宋简体"/>
          <w:color w:val="auto"/>
          <w:highlight w:val="none"/>
          <w:lang w:eastAsia="zh-CN"/>
        </w:rPr>
        <w:t>拟</w:t>
      </w:r>
      <w:r>
        <w:rPr>
          <w:rFonts w:hint="eastAsia" w:ascii="宋体" w:hAnsi="宋体" w:eastAsia="方正仿宋简体" w:cs="方正仿宋简体"/>
          <w:color w:val="auto"/>
          <w:highlight w:val="none"/>
        </w:rPr>
        <w:t>建设为新能源（天然气、电力）综合</w:t>
      </w:r>
      <w:r>
        <w:rPr>
          <w:rFonts w:hint="eastAsia" w:ascii="宋体" w:hAnsi="宋体" w:eastAsia="方正仿宋简体" w:cs="方正仿宋简体"/>
          <w:color w:val="auto"/>
          <w:highlight w:val="none"/>
          <w:lang w:eastAsia="zh-CN"/>
        </w:rPr>
        <w:t>加油站，为天然气及充电装置</w:t>
      </w:r>
      <w:r>
        <w:rPr>
          <w:rFonts w:hint="eastAsia" w:ascii="宋体" w:hAnsi="宋体" w:eastAsia="方正仿宋简体" w:cs="方正仿宋简体"/>
          <w:color w:val="auto"/>
          <w:highlight w:val="none"/>
        </w:rPr>
        <w:t>预留充足空间，选取</w:t>
      </w:r>
      <w:r>
        <w:rPr>
          <w:rFonts w:hint="eastAsia" w:ascii="宋体" w:hAnsi="宋体" w:eastAsia="方正仿宋简体" w:cs="方正仿宋简体"/>
          <w:color w:val="auto"/>
          <w:highlight w:val="none"/>
          <w:lang w:val="en-US" w:eastAsia="zh-CN"/>
        </w:rPr>
        <w:t>1-3座</w:t>
      </w:r>
      <w:r>
        <w:rPr>
          <w:rFonts w:hint="eastAsia" w:ascii="宋体" w:hAnsi="宋体" w:eastAsia="方正仿宋简体" w:cs="方正仿宋简体"/>
          <w:color w:val="auto"/>
          <w:highlight w:val="none"/>
        </w:rPr>
        <w:t>规划新增加油站作为新能源加油站试点。对于有条件设置充电桩等加速新能源应用设施的加油站，可给予适当政策支持和优惠。加油站建设在符合规范要求前提下，尽量做到造型美观，美化站内环境。高标准建设加油站设施，新建加油站与洗车、购物、休闲等综合服务设施统筹考虑，与周围环境融为一体，提升加油站的服务水平和窗口形象。</w:t>
      </w:r>
    </w:p>
    <w:p>
      <w:pPr>
        <w:pStyle w:val="5"/>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ascii="宋体" w:hAnsi="宋体" w:eastAsia="楷体_GB2312" w:cs="楷体_GB2312"/>
          <w:b w:val="0"/>
          <w:bCs/>
          <w:color w:val="auto"/>
          <w:sz w:val="32"/>
          <w:szCs w:val="32"/>
          <w:highlight w:val="none"/>
          <w:lang w:val="en-US" w:eastAsia="zh-CN"/>
        </w:rPr>
      </w:pPr>
      <w:r>
        <w:rPr>
          <w:rFonts w:hint="default" w:ascii="宋体" w:hAnsi="宋体" w:eastAsia="楷体_GB2312" w:cs="楷体_GB2312"/>
          <w:b w:val="0"/>
          <w:bCs/>
          <w:color w:val="auto"/>
          <w:sz w:val="32"/>
          <w:szCs w:val="32"/>
          <w:highlight w:val="none"/>
          <w:lang w:val="en-US" w:eastAsia="zh-CN"/>
        </w:rPr>
        <w:t>六、燃油品质及环保要求</w:t>
      </w:r>
    </w:p>
    <w:p>
      <w:pPr>
        <w:bidi w:val="0"/>
        <w:rPr>
          <w:rFonts w:hint="default" w:ascii="宋体" w:hAnsi="宋体" w:cs="Times New Roman"/>
          <w:color w:val="auto"/>
          <w:highlight w:val="none"/>
        </w:rPr>
      </w:pP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十</w:t>
      </w:r>
      <w:r>
        <w:rPr>
          <w:rFonts w:hint="default" w:ascii="宋体" w:hAnsi="宋体" w:eastAsia="方正仿宋简体" w:cs="方正仿宋简体"/>
          <w:color w:val="auto"/>
          <w:highlight w:val="none"/>
          <w:lang w:eastAsia="zh-CN"/>
        </w:rPr>
        <w:t>四</w:t>
      </w:r>
      <w:r>
        <w:rPr>
          <w:rFonts w:hint="default" w:ascii="宋体" w:hAnsi="宋体" w:eastAsia="方正仿宋简体" w:cs="方正仿宋简体"/>
          <w:color w:val="auto"/>
          <w:highlight w:val="none"/>
        </w:rPr>
        <w:t>五</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期间，</w:t>
      </w:r>
      <w:r>
        <w:rPr>
          <w:rFonts w:hint="default" w:ascii="宋体" w:hAnsi="宋体" w:eastAsia="方正仿宋简体" w:cs="方正仿宋简体"/>
          <w:color w:val="auto"/>
          <w:highlight w:val="none"/>
          <w:lang w:eastAsia="zh-CN"/>
        </w:rPr>
        <w:t>师市</w:t>
      </w:r>
      <w:r>
        <w:rPr>
          <w:rFonts w:hint="default" w:ascii="宋体" w:hAnsi="宋体" w:eastAsia="方正仿宋简体" w:cs="方正仿宋简体"/>
          <w:color w:val="auto"/>
          <w:highlight w:val="none"/>
        </w:rPr>
        <w:t>继续推动提升燃油品质工作。按照</w:t>
      </w:r>
      <w:r>
        <w:rPr>
          <w:rFonts w:hint="default" w:ascii="宋体" w:hAnsi="宋体" w:eastAsia="方正仿宋简体" w:cs="方正仿宋简体"/>
          <w:color w:val="auto"/>
          <w:highlight w:val="none"/>
          <w:lang w:eastAsia="zh-CN"/>
        </w:rPr>
        <w:t>相关政策</w:t>
      </w:r>
      <w:r>
        <w:rPr>
          <w:rFonts w:hint="default" w:ascii="宋体" w:hAnsi="宋体" w:eastAsia="方正仿宋简体" w:cs="方正仿宋简体"/>
          <w:color w:val="auto"/>
          <w:highlight w:val="none"/>
        </w:rPr>
        <w:t>文件要求：</w:t>
      </w:r>
      <w:r>
        <w:rPr>
          <w:rFonts w:hint="default" w:ascii="宋体" w:hAnsi="宋体" w:eastAsia="方正仿宋简体" w:cs="方正仿宋简体"/>
          <w:color w:val="auto"/>
          <w:highlight w:val="none"/>
          <w:lang w:val="en-US" w:eastAsia="zh-CN"/>
        </w:rPr>
        <w:t>2019年起全面使用国六标准车用汽柴油，认真查验成品油经营企业的进销存台账和凭证，依法查处用国Ⅴ以下油品冒充国Ⅵ油品、普通柴油冒充车用柴油、非标油冒充成品油、不合格品冒充合格品等违法行为</w:t>
      </w:r>
      <w:r>
        <w:rPr>
          <w:rFonts w:hint="default" w:ascii="宋体" w:hAnsi="宋体" w:eastAsia="方正仿宋简体" w:cs="方正仿宋简体"/>
          <w:color w:val="auto"/>
          <w:highlight w:val="none"/>
        </w:rPr>
        <w:t>。加油站不得销售不符合标准的车用汽、柴油。加油站项目审批、验收、检查</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严格执行</w:t>
      </w:r>
      <w:r>
        <w:rPr>
          <w:rFonts w:hint="eastAsia" w:ascii="宋体" w:hAnsi="宋体" w:eastAsia="方正仿宋简体" w:cs="方正仿宋简体"/>
          <w:color w:val="auto"/>
          <w:highlight w:val="none"/>
          <w:lang w:eastAsia="zh-CN"/>
        </w:rPr>
        <w:t>国家有关</w:t>
      </w:r>
      <w:r>
        <w:rPr>
          <w:rFonts w:hint="default" w:ascii="宋体" w:hAnsi="宋体" w:eastAsia="方正仿宋简体" w:cs="方正仿宋简体"/>
          <w:color w:val="auto"/>
          <w:highlight w:val="none"/>
        </w:rPr>
        <w:t>《储油库、加油站大气污染治理项目验收检测技术规范》、《加油站大气污染物排放标准》等相关条例</w:t>
      </w:r>
      <w:r>
        <w:rPr>
          <w:rFonts w:hint="eastAsia" w:ascii="宋体" w:hAnsi="宋体" w:eastAsia="方正仿宋简体" w:cs="方正仿宋简体"/>
          <w:color w:val="auto"/>
          <w:highlight w:val="none"/>
          <w:lang w:eastAsia="zh-CN"/>
        </w:rPr>
        <w:t>、规范</w:t>
      </w:r>
      <w:r>
        <w:rPr>
          <w:rFonts w:hint="default" w:ascii="宋体" w:hAnsi="宋体" w:eastAsia="方正仿宋简体" w:cs="方正仿宋简体"/>
          <w:color w:val="auto"/>
          <w:highlight w:val="none"/>
        </w:rPr>
        <w:t>，加快推进</w:t>
      </w:r>
      <w:r>
        <w:rPr>
          <w:rFonts w:hint="default" w:ascii="宋体" w:hAnsi="宋体" w:eastAsia="方正仿宋简体" w:cs="方正仿宋简体"/>
          <w:color w:val="auto"/>
          <w:highlight w:val="none"/>
          <w:lang w:eastAsia="zh-CN"/>
        </w:rPr>
        <w:t>师市</w:t>
      </w:r>
      <w:r>
        <w:rPr>
          <w:rFonts w:hint="default" w:ascii="宋体" w:hAnsi="宋体" w:eastAsia="方正仿宋简体" w:cs="方正仿宋简体"/>
          <w:color w:val="auto"/>
          <w:highlight w:val="none"/>
        </w:rPr>
        <w:t>油气回收</w:t>
      </w:r>
      <w:r>
        <w:rPr>
          <w:rFonts w:hint="eastAsia" w:ascii="宋体" w:hAnsi="宋体" w:eastAsia="方正仿宋简体" w:cs="方正仿宋简体"/>
          <w:color w:val="auto"/>
          <w:highlight w:val="none"/>
          <w:lang w:eastAsia="zh-CN"/>
        </w:rPr>
        <w:t>在线监测</w:t>
      </w:r>
      <w:r>
        <w:rPr>
          <w:rFonts w:hint="default" w:ascii="宋体" w:hAnsi="宋体" w:eastAsia="方正仿宋简体" w:cs="方正仿宋简体"/>
          <w:color w:val="auto"/>
          <w:highlight w:val="none"/>
        </w:rPr>
        <w:t>，</w:t>
      </w:r>
      <w:r>
        <w:rPr>
          <w:rFonts w:hint="eastAsia" w:ascii="宋体" w:hAnsi="宋体" w:eastAsia="方正仿宋简体" w:cs="方正仿宋简体"/>
          <w:color w:val="auto"/>
          <w:highlight w:val="none"/>
          <w:lang w:eastAsia="zh-CN"/>
        </w:rPr>
        <w:t>进一步</w:t>
      </w:r>
      <w:r>
        <w:rPr>
          <w:rFonts w:hint="default" w:ascii="宋体" w:hAnsi="宋体" w:eastAsia="方正仿宋简体" w:cs="方正仿宋简体"/>
          <w:color w:val="auto"/>
          <w:highlight w:val="none"/>
        </w:rPr>
        <w:t>规范油气回收治理</w:t>
      </w:r>
      <w:r>
        <w:rPr>
          <w:rFonts w:hint="eastAsia" w:ascii="宋体" w:hAnsi="宋体" w:eastAsia="方正仿宋简体" w:cs="方正仿宋简体"/>
          <w:color w:val="auto"/>
          <w:highlight w:val="none"/>
          <w:lang w:eastAsia="zh-CN"/>
        </w:rPr>
        <w:t>、监管</w:t>
      </w:r>
      <w:r>
        <w:rPr>
          <w:rFonts w:hint="default" w:ascii="宋体" w:hAnsi="宋体" w:eastAsia="方正仿宋简体" w:cs="方正仿宋简体"/>
          <w:color w:val="auto"/>
          <w:highlight w:val="none"/>
        </w:rPr>
        <w:t>工作。</w:t>
      </w:r>
    </w:p>
    <w:p>
      <w:pPr>
        <w:pStyle w:val="4"/>
        <w:numPr>
          <w:ilvl w:val="1"/>
          <w:numId w:val="0"/>
        </w:numPr>
        <w:bidi w:val="0"/>
        <w:ind w:leftChars="0"/>
        <w:jc w:val="center"/>
        <w:rPr>
          <w:rFonts w:hint="default" w:ascii="宋体" w:hAnsi="宋体" w:cs="Times New Roman"/>
          <w:b w:val="0"/>
          <w:bCs/>
          <w:color w:val="auto"/>
          <w:highlight w:val="none"/>
          <w:lang w:val="en-US" w:eastAsia="zh-CN"/>
        </w:rPr>
      </w:pPr>
      <w:bookmarkStart w:id="21" w:name="_Toc29816"/>
      <w:r>
        <w:rPr>
          <w:rFonts w:hint="eastAsia" w:ascii="宋体" w:hAnsi="宋体" w:cs="Times New Roman"/>
          <w:b w:val="0"/>
          <w:bCs/>
          <w:color w:val="auto"/>
          <w:highlight w:val="none"/>
          <w:lang w:val="en-US" w:eastAsia="zh-CN"/>
        </w:rPr>
        <w:t xml:space="preserve">第四节 </w:t>
      </w:r>
      <w:r>
        <w:rPr>
          <w:rFonts w:hint="default" w:ascii="宋体" w:hAnsi="宋体" w:cs="Times New Roman"/>
          <w:b w:val="0"/>
          <w:bCs/>
          <w:color w:val="auto"/>
          <w:highlight w:val="none"/>
          <w:lang w:val="en-US" w:eastAsia="zh-CN"/>
        </w:rPr>
        <w:t>布局重点区域</w:t>
      </w:r>
      <w:bookmarkEnd w:id="21"/>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rPr>
        <w:t>在满足师市成品油市场需求及经济发展的前提下，充分考虑资源和生态环境的承载能力，根据师市相关安排，重点加强师市新建团</w:t>
      </w:r>
      <w:r>
        <w:rPr>
          <w:rFonts w:hint="eastAsia" w:ascii="宋体" w:hAnsi="宋体" w:eastAsia="方正仿宋简体" w:cs="方正仿宋简体"/>
          <w:color w:val="auto"/>
          <w:highlight w:val="none"/>
          <w:lang w:eastAsia="zh-CN"/>
        </w:rPr>
        <w:t>（镇）</w:t>
      </w:r>
      <w:r>
        <w:rPr>
          <w:rFonts w:hint="default" w:ascii="宋体" w:hAnsi="宋体" w:eastAsia="方正仿宋简体" w:cs="方正仿宋简体"/>
          <w:color w:val="auto"/>
          <w:highlight w:val="none"/>
        </w:rPr>
        <w:t>、园区、交通基础设施发展</w:t>
      </w:r>
      <w:r>
        <w:rPr>
          <w:rFonts w:hint="eastAsia" w:ascii="宋体" w:hAnsi="宋体" w:eastAsia="方正仿宋简体" w:cs="方正仿宋简体"/>
          <w:color w:val="auto"/>
          <w:highlight w:val="none"/>
          <w:lang w:eastAsia="zh-CN"/>
        </w:rPr>
        <w:t>较快</w:t>
      </w:r>
      <w:r>
        <w:rPr>
          <w:rFonts w:hint="default" w:ascii="宋体" w:hAnsi="宋体" w:eastAsia="方正仿宋简体" w:cs="方正仿宋简体"/>
          <w:color w:val="auto"/>
          <w:highlight w:val="none"/>
        </w:rPr>
        <w:t>等重点位置的加油站网点开发建设工作，分期建设、科学控制加油站总量，避免重复建设和资源浪费。始终坚持社会、经济、环境三大效益相结合及提高新能源利用，坚持提高服务师市成品油市场及供应保障能力，努力创造平稳、安全</w:t>
      </w:r>
      <w:r>
        <w:rPr>
          <w:rFonts w:hint="eastAsia" w:ascii="宋体" w:hAnsi="宋体" w:eastAsia="方正仿宋简体" w:cs="方正仿宋简体"/>
          <w:color w:val="auto"/>
          <w:highlight w:val="none"/>
          <w:lang w:eastAsia="zh-CN"/>
        </w:rPr>
        <w:t>、有序</w:t>
      </w:r>
      <w:r>
        <w:rPr>
          <w:rFonts w:hint="default" w:ascii="宋体" w:hAnsi="宋体" w:eastAsia="方正仿宋简体" w:cs="方正仿宋简体"/>
          <w:color w:val="auto"/>
          <w:highlight w:val="none"/>
        </w:rPr>
        <w:t>的市场秩序。</w:t>
      </w:r>
    </w:p>
    <w:p>
      <w:pPr>
        <w:pStyle w:val="4"/>
        <w:numPr>
          <w:ilvl w:val="1"/>
          <w:numId w:val="0"/>
        </w:numPr>
        <w:bidi w:val="0"/>
        <w:ind w:leftChars="0"/>
        <w:jc w:val="center"/>
        <w:rPr>
          <w:rFonts w:hint="default" w:ascii="宋体" w:hAnsi="宋体" w:cs="Times New Roman"/>
          <w:b w:val="0"/>
          <w:bCs w:val="0"/>
          <w:color w:val="auto"/>
          <w:highlight w:val="none"/>
          <w:lang w:val="en-US" w:eastAsia="zh-CN"/>
        </w:rPr>
      </w:pPr>
      <w:bookmarkStart w:id="22" w:name="_Toc11704"/>
      <w:r>
        <w:rPr>
          <w:rFonts w:hint="eastAsia" w:ascii="宋体" w:hAnsi="宋体" w:cs="Times New Roman"/>
          <w:b w:val="0"/>
          <w:bCs w:val="0"/>
          <w:color w:val="auto"/>
          <w:highlight w:val="none"/>
          <w:lang w:val="en-US" w:eastAsia="zh-CN"/>
        </w:rPr>
        <w:t xml:space="preserve">第五节 </w:t>
      </w:r>
      <w:r>
        <w:rPr>
          <w:rFonts w:hint="default" w:ascii="宋体" w:hAnsi="宋体" w:cs="Times New Roman"/>
          <w:b w:val="0"/>
          <w:bCs w:val="0"/>
          <w:color w:val="auto"/>
          <w:highlight w:val="none"/>
          <w:lang w:val="en-US" w:eastAsia="zh-CN"/>
        </w:rPr>
        <w:t>规划布局方案</w:t>
      </w:r>
      <w:bookmarkEnd w:id="22"/>
    </w:p>
    <w:p>
      <w:pPr>
        <w:bidi w:val="0"/>
        <w:ind w:left="0" w:leftChars="0" w:firstLine="640" w:firstLineChars="200"/>
        <w:rPr>
          <w:rFonts w:hint="default" w:ascii="宋体" w:hAnsi="宋体" w:eastAsia="方正仿宋简体" w:cs="方正仿宋简体"/>
          <w:color w:val="auto"/>
          <w:highlight w:val="none"/>
        </w:rPr>
      </w:pPr>
      <w:r>
        <w:rPr>
          <w:rFonts w:hint="default" w:ascii="宋体" w:hAnsi="宋体" w:eastAsia="方正仿宋简体" w:cs="方正仿宋简体"/>
          <w:color w:val="auto"/>
          <w:highlight w:val="none"/>
          <w:lang w:val="en-US" w:eastAsia="zh-CN"/>
        </w:rPr>
        <w:t>根据对</w:t>
      </w:r>
      <w:r>
        <w:rPr>
          <w:rFonts w:hint="eastAsia" w:ascii="宋体" w:hAnsi="宋体" w:eastAsia="方正仿宋简体" w:cs="方正仿宋简体"/>
          <w:color w:val="auto"/>
          <w:highlight w:val="none"/>
          <w:lang w:val="en-US" w:eastAsia="zh-CN"/>
        </w:rPr>
        <w:t>师市辖区</w:t>
      </w:r>
      <w:r>
        <w:rPr>
          <w:rFonts w:hint="default" w:ascii="宋体" w:hAnsi="宋体" w:eastAsia="方正仿宋简体" w:cs="方正仿宋简体"/>
          <w:color w:val="auto"/>
          <w:highlight w:val="none"/>
          <w:lang w:val="en-US" w:eastAsia="zh-CN"/>
        </w:rPr>
        <w:t>加油站现状的调查结果进行分析，以及</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十四五</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时期成品油需求、机动车保有量预测，</w:t>
      </w:r>
      <w:r>
        <w:rPr>
          <w:rFonts w:hint="default" w:ascii="宋体" w:hAnsi="宋体" w:eastAsia="方正仿宋简体" w:cs="方正仿宋简体"/>
          <w:color w:val="auto"/>
          <w:highlight w:val="none"/>
        </w:rPr>
        <w:t>结合师市各行业规划，按照</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规划科学性与可操作性、规划与管理相结合、合理优化布局</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的原则，积极与师市</w:t>
      </w:r>
      <w:r>
        <w:rPr>
          <w:rFonts w:hint="eastAsia" w:ascii="宋体" w:hAnsi="宋体" w:eastAsia="方正仿宋简体" w:cs="方正仿宋简体"/>
          <w:color w:val="auto"/>
          <w:highlight w:val="none"/>
          <w:lang w:eastAsia="zh-CN"/>
        </w:rPr>
        <w:t>各部门</w:t>
      </w:r>
      <w:r>
        <w:rPr>
          <w:rFonts w:hint="default" w:ascii="宋体" w:hAnsi="宋体" w:eastAsia="方正仿宋简体" w:cs="方正仿宋简体"/>
          <w:color w:val="auto"/>
          <w:highlight w:val="none"/>
        </w:rPr>
        <w:t>、团</w:t>
      </w:r>
      <w:r>
        <w:rPr>
          <w:rFonts w:hint="eastAsia" w:ascii="宋体" w:hAnsi="宋体" w:eastAsia="方正仿宋简体" w:cs="方正仿宋简体"/>
          <w:color w:val="auto"/>
          <w:highlight w:val="none"/>
          <w:lang w:eastAsia="zh-CN"/>
        </w:rPr>
        <w:t>（镇）</w:t>
      </w:r>
      <w:r>
        <w:rPr>
          <w:rFonts w:hint="default" w:ascii="宋体" w:hAnsi="宋体" w:eastAsia="方正仿宋简体" w:cs="方正仿宋简体"/>
          <w:color w:val="auto"/>
          <w:highlight w:val="none"/>
        </w:rPr>
        <w:t>沟通交流，科学预测师市成品油需求趋势，确保加油站网点科学合理布局，满足师市成品油需求及经济发展要求。</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至</w:t>
      </w:r>
      <w:r>
        <w:rPr>
          <w:rFonts w:hint="default" w:ascii="宋体" w:hAnsi="宋体" w:eastAsia="方正仿宋简体" w:cs="方正仿宋简体"/>
          <w:color w:val="auto"/>
          <w:highlight w:val="none"/>
          <w:lang w:val="en-US" w:eastAsia="zh-CN"/>
        </w:rPr>
        <w:t>2025年</w:t>
      </w:r>
      <w:r>
        <w:rPr>
          <w:rFonts w:hint="default" w:ascii="宋体" w:hAnsi="宋体" w:eastAsia="方正仿宋简体" w:cs="方正仿宋简体"/>
          <w:color w:val="auto"/>
          <w:highlight w:val="none"/>
        </w:rPr>
        <w:t>加油站</w:t>
      </w:r>
      <w:r>
        <w:rPr>
          <w:rFonts w:hint="eastAsia" w:ascii="宋体" w:hAnsi="宋体" w:eastAsia="方正仿宋简体" w:cs="方正仿宋简体"/>
          <w:color w:val="auto"/>
          <w:highlight w:val="none"/>
          <w:lang w:eastAsia="zh-CN"/>
        </w:rPr>
        <w:t>将</w:t>
      </w:r>
      <w:r>
        <w:rPr>
          <w:rFonts w:hint="default" w:ascii="宋体" w:hAnsi="宋体" w:eastAsia="方正仿宋简体" w:cs="方正仿宋简体"/>
          <w:color w:val="auto"/>
          <w:highlight w:val="none"/>
          <w:lang w:val="en-US" w:eastAsia="zh-CN"/>
        </w:rPr>
        <w:t>增加至</w:t>
      </w:r>
      <w:r>
        <w:rPr>
          <w:rFonts w:hint="eastAsia" w:ascii="宋体" w:hAnsi="宋体" w:eastAsia="方正仿宋简体" w:cs="方正仿宋简体"/>
          <w:color w:val="auto"/>
          <w:highlight w:val="none"/>
          <w:lang w:val="en-US" w:eastAsia="zh-CN"/>
        </w:rPr>
        <w:t>64</w:t>
      </w:r>
      <w:r>
        <w:rPr>
          <w:rFonts w:hint="default" w:ascii="宋体" w:hAnsi="宋体" w:eastAsia="方正仿宋简体" w:cs="方正仿宋简体"/>
          <w:color w:val="auto"/>
          <w:highlight w:val="none"/>
        </w:rPr>
        <w:t>座，</w:t>
      </w:r>
      <w:r>
        <w:rPr>
          <w:rFonts w:hint="eastAsia" w:ascii="宋体" w:hAnsi="宋体" w:eastAsia="方正仿宋简体" w:cs="方正仿宋简体"/>
          <w:color w:val="auto"/>
          <w:highlight w:val="none"/>
          <w:lang w:eastAsia="zh-CN"/>
        </w:rPr>
        <w:t>其构成为：“十三五”期间已建成并运营的</w:t>
      </w:r>
      <w:r>
        <w:rPr>
          <w:rFonts w:hint="default" w:ascii="宋体" w:hAnsi="宋体" w:eastAsia="方正仿宋简体" w:cs="方正仿宋简体"/>
          <w:color w:val="auto"/>
          <w:highlight w:val="none"/>
        </w:rPr>
        <w:t>加油站</w:t>
      </w:r>
      <w:r>
        <w:rPr>
          <w:rFonts w:hint="default" w:ascii="宋体" w:hAnsi="宋体" w:eastAsia="方正仿宋简体" w:cs="方正仿宋简体"/>
          <w:color w:val="auto"/>
          <w:highlight w:val="none"/>
          <w:lang w:val="en-US" w:eastAsia="zh-CN"/>
        </w:rPr>
        <w:t>2</w:t>
      </w:r>
      <w:r>
        <w:rPr>
          <w:rFonts w:hint="eastAsia" w:ascii="宋体" w:hAnsi="宋体" w:eastAsia="方正仿宋简体" w:cs="方正仿宋简体"/>
          <w:color w:val="auto"/>
          <w:highlight w:val="none"/>
          <w:lang w:val="en-US" w:eastAsia="zh-CN"/>
        </w:rPr>
        <w:t>5</w:t>
      </w:r>
      <w:r>
        <w:rPr>
          <w:rFonts w:hint="default" w:ascii="宋体" w:hAnsi="宋体" w:eastAsia="方正仿宋简体" w:cs="方正仿宋简体"/>
          <w:color w:val="auto"/>
          <w:highlight w:val="none"/>
        </w:rPr>
        <w:t>座</w:t>
      </w:r>
      <w:r>
        <w:rPr>
          <w:rFonts w:hint="eastAsia" w:ascii="宋体" w:hAnsi="宋体" w:eastAsia="方正仿宋简体" w:cs="方正仿宋简体"/>
          <w:color w:val="auto"/>
          <w:highlight w:val="none"/>
          <w:lang w:eastAsia="zh-CN"/>
        </w:rPr>
        <w:t>及在建的</w:t>
      </w:r>
      <w:r>
        <w:rPr>
          <w:rFonts w:hint="eastAsia" w:ascii="宋体" w:hAnsi="宋体" w:eastAsia="方正仿宋简体" w:cs="方正仿宋简体"/>
          <w:color w:val="auto"/>
          <w:highlight w:val="none"/>
          <w:lang w:val="en-US" w:eastAsia="zh-CN"/>
        </w:rPr>
        <w:t>3座、歇业1座。“十四五”期间规划</w:t>
      </w:r>
      <w:r>
        <w:rPr>
          <w:rFonts w:hint="default" w:ascii="宋体" w:hAnsi="宋体" w:eastAsia="方正仿宋简体" w:cs="方正仿宋简体"/>
          <w:color w:val="auto"/>
          <w:highlight w:val="none"/>
        </w:rPr>
        <w:t>新建加油站</w:t>
      </w:r>
      <w:r>
        <w:rPr>
          <w:rFonts w:hint="eastAsia" w:ascii="宋体" w:hAnsi="宋体" w:eastAsia="方正仿宋简体" w:cs="方正仿宋简体"/>
          <w:color w:val="auto"/>
          <w:highlight w:val="none"/>
          <w:lang w:val="en-US" w:eastAsia="zh-CN"/>
        </w:rPr>
        <w:t>31</w:t>
      </w:r>
      <w:r>
        <w:rPr>
          <w:rFonts w:hint="default" w:ascii="宋体" w:hAnsi="宋体" w:eastAsia="方正仿宋简体" w:cs="方正仿宋简体"/>
          <w:color w:val="auto"/>
          <w:highlight w:val="none"/>
        </w:rPr>
        <w:t>座</w:t>
      </w:r>
      <w:r>
        <w:rPr>
          <w:rFonts w:hint="eastAsia" w:ascii="宋体" w:hAnsi="宋体" w:eastAsia="方正仿宋简体" w:cs="方正仿宋简体"/>
          <w:color w:val="auto"/>
          <w:highlight w:val="none"/>
          <w:lang w:eastAsia="zh-CN"/>
        </w:rPr>
        <w:t>、原址</w:t>
      </w:r>
      <w:r>
        <w:rPr>
          <w:rFonts w:hint="default" w:ascii="宋体" w:hAnsi="宋体" w:eastAsia="方正仿宋简体" w:cs="方正仿宋简体"/>
          <w:color w:val="auto"/>
          <w:highlight w:val="none"/>
        </w:rPr>
        <w:t>改扩建加油站</w:t>
      </w:r>
      <w:r>
        <w:rPr>
          <w:rFonts w:hint="eastAsia" w:ascii="宋体" w:hAnsi="宋体" w:eastAsia="方正仿宋简体" w:cs="方正仿宋简体"/>
          <w:color w:val="auto"/>
          <w:highlight w:val="none"/>
          <w:lang w:val="en-US" w:eastAsia="zh-CN"/>
        </w:rPr>
        <w:t>3</w:t>
      </w:r>
      <w:r>
        <w:rPr>
          <w:rFonts w:hint="default" w:ascii="宋体" w:hAnsi="宋体" w:eastAsia="方正仿宋简体" w:cs="方正仿宋简体"/>
          <w:color w:val="auto"/>
          <w:highlight w:val="none"/>
        </w:rPr>
        <w:t>座</w:t>
      </w:r>
      <w:r>
        <w:rPr>
          <w:rFonts w:hint="eastAsia" w:ascii="宋体" w:hAnsi="宋体" w:eastAsia="方正仿宋简体" w:cs="方正仿宋简体"/>
          <w:color w:val="auto"/>
          <w:highlight w:val="none"/>
          <w:lang w:eastAsia="zh-CN"/>
        </w:rPr>
        <w:t>、迁址建设</w:t>
      </w:r>
      <w:r>
        <w:rPr>
          <w:rFonts w:hint="eastAsia" w:ascii="宋体" w:hAnsi="宋体" w:eastAsia="方正仿宋简体" w:cs="方正仿宋简体"/>
          <w:color w:val="auto"/>
          <w:highlight w:val="none"/>
          <w:lang w:val="en-US" w:eastAsia="zh-CN"/>
        </w:rPr>
        <w:t>1座</w:t>
      </w:r>
      <w:r>
        <w:rPr>
          <w:rFonts w:hint="eastAsia" w:ascii="宋体" w:hAnsi="宋体" w:eastAsia="方正仿宋简体" w:cs="方正仿宋简体"/>
          <w:color w:val="auto"/>
          <w:highlight w:val="none"/>
          <w:lang w:eastAsia="zh-CN"/>
        </w:rPr>
        <w:t>。</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一、</w:t>
      </w:r>
      <w:r>
        <w:rPr>
          <w:rFonts w:hint="eastAsia" w:ascii="宋体" w:hAnsi="宋体" w:eastAsia="方正仿宋简体" w:cs="方正仿宋简体"/>
          <w:b/>
          <w:bCs/>
          <w:color w:val="auto"/>
          <w:highlight w:val="none"/>
          <w:lang w:val="en-US" w:eastAsia="zh-CN"/>
        </w:rPr>
        <w:t>规划</w:t>
      </w:r>
      <w:r>
        <w:rPr>
          <w:rFonts w:hint="default" w:ascii="宋体" w:hAnsi="宋体" w:eastAsia="方正仿宋简体" w:cs="方正仿宋简体"/>
          <w:b/>
          <w:bCs/>
          <w:color w:val="auto"/>
          <w:highlight w:val="none"/>
          <w:lang w:val="en-US" w:eastAsia="zh-CN"/>
        </w:rPr>
        <w:t>新建加油站</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1</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31团区域内新建加油站4座，其中城镇区域2座、高速公路沿线2座</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站点选址位于第二师31团</w:t>
      </w:r>
      <w:r>
        <w:rPr>
          <w:rFonts w:hint="eastAsia" w:ascii="宋体" w:hAnsi="宋体" w:eastAsia="方正仿宋简体" w:cs="方正仿宋简体"/>
          <w:color w:val="auto"/>
          <w:highlight w:val="none"/>
          <w:lang w:val="en-US" w:eastAsia="zh-CN"/>
        </w:rPr>
        <w:t>行政区域内</w:t>
      </w:r>
      <w:r>
        <w:rPr>
          <w:rFonts w:hint="default" w:ascii="宋体" w:hAnsi="宋体" w:eastAsia="方正仿宋简体" w:cs="方正仿宋简体"/>
          <w:color w:val="auto"/>
          <w:highlight w:val="none"/>
          <w:lang w:val="en-US" w:eastAsia="zh-CN"/>
        </w:rPr>
        <w:t>。</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w:t>
      </w:r>
      <w:r>
        <w:rPr>
          <w:rFonts w:hint="default" w:ascii="宋体" w:hAnsi="宋体" w:eastAsia="方正仿宋简体" w:cs="方正仿宋简体"/>
          <w:color w:val="auto"/>
          <w:highlight w:val="none"/>
          <w:lang w:val="en-US" w:eastAsia="zh-CN"/>
        </w:rPr>
        <w:t>33团</w:t>
      </w:r>
      <w:r>
        <w:rPr>
          <w:rFonts w:hint="eastAsia" w:ascii="宋体" w:hAnsi="宋体" w:eastAsia="方正仿宋简体" w:cs="方正仿宋简体"/>
          <w:color w:val="auto"/>
          <w:highlight w:val="none"/>
          <w:lang w:val="en-US" w:eastAsia="zh-CN"/>
        </w:rPr>
        <w:t>区域内</w:t>
      </w:r>
      <w:r>
        <w:rPr>
          <w:rFonts w:hint="default" w:ascii="宋体" w:hAnsi="宋体" w:eastAsia="方正仿宋简体" w:cs="方正仿宋简体"/>
          <w:color w:val="auto"/>
          <w:highlight w:val="none"/>
        </w:rPr>
        <w:t>新建</w:t>
      </w:r>
      <w:r>
        <w:rPr>
          <w:rFonts w:hint="default" w:ascii="宋体" w:hAnsi="宋体" w:eastAsia="方正仿宋简体" w:cs="方正仿宋简体"/>
          <w:color w:val="auto"/>
          <w:highlight w:val="none"/>
          <w:lang w:val="en-US" w:eastAsia="zh-CN"/>
        </w:rPr>
        <w:t>加油站</w:t>
      </w:r>
      <w:r>
        <w:rPr>
          <w:rFonts w:hint="eastAsia" w:ascii="宋体" w:hAnsi="宋体" w:eastAsia="方正仿宋简体" w:cs="方正仿宋简体"/>
          <w:color w:val="auto"/>
          <w:highlight w:val="none"/>
          <w:lang w:val="en-US" w:eastAsia="zh-CN"/>
        </w:rPr>
        <w:t>2</w:t>
      </w:r>
      <w:r>
        <w:rPr>
          <w:rFonts w:hint="default" w:ascii="宋体" w:hAnsi="宋体" w:eastAsia="方正仿宋简体" w:cs="方正仿宋简体"/>
          <w:color w:val="auto"/>
          <w:highlight w:val="none"/>
          <w:lang w:val="en-US" w:eastAsia="zh-CN"/>
        </w:rPr>
        <w:t>座。</w:t>
      </w:r>
      <w:r>
        <w:rPr>
          <w:rFonts w:hint="eastAsia" w:ascii="宋体" w:hAnsi="宋体" w:eastAsia="方正仿宋简体" w:cs="方正仿宋简体"/>
          <w:color w:val="auto"/>
          <w:highlight w:val="none"/>
          <w:lang w:val="en-US" w:eastAsia="zh-CN"/>
        </w:rPr>
        <w:t>其中城镇区域1座、高速公路沿线1座，</w:t>
      </w:r>
      <w:r>
        <w:rPr>
          <w:rFonts w:hint="default" w:ascii="宋体" w:hAnsi="宋体" w:eastAsia="方正仿宋简体" w:cs="方正仿宋简体"/>
          <w:color w:val="auto"/>
          <w:highlight w:val="none"/>
          <w:lang w:val="en-US" w:eastAsia="zh-CN"/>
        </w:rPr>
        <w:t>站点选址位于第二师33团</w:t>
      </w:r>
      <w:r>
        <w:rPr>
          <w:rFonts w:hint="eastAsia" w:ascii="宋体" w:hAnsi="宋体" w:eastAsia="方正仿宋简体" w:cs="方正仿宋简体"/>
          <w:color w:val="auto"/>
          <w:highlight w:val="none"/>
          <w:lang w:val="en-US" w:eastAsia="zh-CN"/>
        </w:rPr>
        <w:t>行政区域内</w:t>
      </w:r>
      <w:r>
        <w:rPr>
          <w:rFonts w:hint="default" w:ascii="宋体" w:hAnsi="宋体" w:eastAsia="方正仿宋简体" w:cs="方正仿宋简体"/>
          <w:color w:val="auto"/>
          <w:highlight w:val="none"/>
          <w:lang w:val="en-US" w:eastAsia="zh-CN"/>
        </w:rPr>
        <w:t>。</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3.</w:t>
      </w:r>
      <w:r>
        <w:rPr>
          <w:rFonts w:hint="default" w:ascii="宋体" w:hAnsi="宋体" w:eastAsia="方正仿宋简体" w:cs="方正仿宋简体"/>
          <w:color w:val="auto"/>
          <w:highlight w:val="none"/>
          <w:lang w:val="en-US" w:eastAsia="zh-CN"/>
        </w:rPr>
        <w:t>3</w:t>
      </w:r>
      <w:r>
        <w:rPr>
          <w:rFonts w:hint="eastAsia" w:ascii="宋体" w:hAnsi="宋体" w:eastAsia="方正仿宋简体" w:cs="方正仿宋简体"/>
          <w:color w:val="auto"/>
          <w:highlight w:val="none"/>
          <w:lang w:val="en-US" w:eastAsia="zh-CN"/>
        </w:rPr>
        <w:t>4</w:t>
      </w:r>
      <w:r>
        <w:rPr>
          <w:rFonts w:hint="default" w:ascii="宋体" w:hAnsi="宋体" w:eastAsia="方正仿宋简体" w:cs="方正仿宋简体"/>
          <w:color w:val="auto"/>
          <w:highlight w:val="none"/>
          <w:lang w:val="en-US" w:eastAsia="zh-CN"/>
        </w:rPr>
        <w:t>团</w:t>
      </w:r>
      <w:r>
        <w:rPr>
          <w:rFonts w:hint="eastAsia" w:ascii="宋体" w:hAnsi="宋体" w:eastAsia="方正仿宋简体" w:cs="方正仿宋简体"/>
          <w:color w:val="auto"/>
          <w:highlight w:val="none"/>
          <w:lang w:val="en-US" w:eastAsia="zh-CN"/>
        </w:rPr>
        <w:t>区域内</w:t>
      </w:r>
      <w:r>
        <w:rPr>
          <w:rFonts w:hint="default" w:ascii="宋体" w:hAnsi="宋体" w:eastAsia="方正仿宋简体" w:cs="方正仿宋简体"/>
          <w:color w:val="auto"/>
          <w:highlight w:val="none"/>
        </w:rPr>
        <w:t>新建</w:t>
      </w:r>
      <w:r>
        <w:rPr>
          <w:rFonts w:hint="default" w:ascii="宋体" w:hAnsi="宋体" w:eastAsia="方正仿宋简体" w:cs="方正仿宋简体"/>
          <w:color w:val="auto"/>
          <w:highlight w:val="none"/>
          <w:lang w:val="en-US" w:eastAsia="zh-CN"/>
        </w:rPr>
        <w:t>加油站</w:t>
      </w:r>
      <w:r>
        <w:rPr>
          <w:rFonts w:hint="eastAsia" w:ascii="宋体" w:hAnsi="宋体" w:eastAsia="方正仿宋简体" w:cs="方正仿宋简体"/>
          <w:color w:val="auto"/>
          <w:highlight w:val="none"/>
          <w:lang w:val="en-US" w:eastAsia="zh-CN"/>
        </w:rPr>
        <w:t>5</w:t>
      </w:r>
      <w:r>
        <w:rPr>
          <w:rFonts w:hint="default" w:ascii="宋体" w:hAnsi="宋体" w:eastAsia="方正仿宋简体" w:cs="方正仿宋简体"/>
          <w:color w:val="auto"/>
          <w:highlight w:val="none"/>
          <w:lang w:val="en-US" w:eastAsia="zh-CN"/>
        </w:rPr>
        <w:t>座。</w:t>
      </w:r>
      <w:r>
        <w:rPr>
          <w:rFonts w:hint="eastAsia" w:ascii="宋体" w:hAnsi="宋体" w:eastAsia="方正仿宋简体" w:cs="方正仿宋简体"/>
          <w:color w:val="auto"/>
          <w:highlight w:val="none"/>
          <w:lang w:val="en-US" w:eastAsia="zh-CN"/>
        </w:rPr>
        <w:t>其中城镇区域2座、国省道1座、高速公路沿线2座，</w:t>
      </w:r>
      <w:r>
        <w:rPr>
          <w:rFonts w:hint="default" w:ascii="宋体" w:hAnsi="宋体" w:eastAsia="方正仿宋简体" w:cs="方正仿宋简体"/>
          <w:color w:val="auto"/>
          <w:highlight w:val="none"/>
          <w:lang w:val="en-US" w:eastAsia="zh-CN"/>
        </w:rPr>
        <w:t>站点选址位于第二师34团</w:t>
      </w:r>
      <w:r>
        <w:rPr>
          <w:rFonts w:hint="eastAsia" w:ascii="宋体" w:hAnsi="宋体" w:eastAsia="方正仿宋简体" w:cs="方正仿宋简体"/>
          <w:color w:val="auto"/>
          <w:highlight w:val="none"/>
          <w:lang w:val="en-US" w:eastAsia="zh-CN"/>
        </w:rPr>
        <w:t>行政区域内</w:t>
      </w:r>
      <w:r>
        <w:rPr>
          <w:rFonts w:hint="default" w:ascii="宋体" w:hAnsi="宋体" w:eastAsia="方正仿宋简体" w:cs="方正仿宋简体"/>
          <w:color w:val="auto"/>
          <w:highlight w:val="none"/>
          <w:lang w:val="en-US" w:eastAsia="zh-CN"/>
        </w:rPr>
        <w:t>。</w:t>
      </w:r>
    </w:p>
    <w:p>
      <w:pPr>
        <w:bidi w:val="0"/>
        <w:rPr>
          <w:rFonts w:hint="default" w:ascii="宋体" w:hAnsi="宋体" w:eastAsia="方正仿宋简体" w:cs="方正仿宋简体"/>
          <w:color w:val="auto"/>
          <w:highlight w:val="none"/>
        </w:rPr>
      </w:pPr>
      <w:r>
        <w:rPr>
          <w:rFonts w:hint="eastAsia" w:ascii="宋体" w:hAnsi="宋体" w:eastAsia="方正仿宋简体" w:cs="方正仿宋简体"/>
          <w:color w:val="auto"/>
          <w:highlight w:val="none"/>
          <w:lang w:val="en-US" w:eastAsia="zh-CN"/>
        </w:rPr>
        <w:t>4.</w:t>
      </w:r>
      <w:r>
        <w:rPr>
          <w:rFonts w:hint="default" w:ascii="宋体" w:hAnsi="宋体" w:eastAsia="方正仿宋简体" w:cs="方正仿宋简体"/>
          <w:color w:val="auto"/>
          <w:highlight w:val="none"/>
          <w:lang w:val="en-US" w:eastAsia="zh-CN"/>
        </w:rPr>
        <w:t>3</w:t>
      </w:r>
      <w:r>
        <w:rPr>
          <w:rFonts w:hint="eastAsia" w:ascii="宋体" w:hAnsi="宋体" w:eastAsia="方正仿宋简体" w:cs="方正仿宋简体"/>
          <w:color w:val="auto"/>
          <w:highlight w:val="none"/>
          <w:lang w:val="en-US" w:eastAsia="zh-CN"/>
        </w:rPr>
        <w:t>6</w:t>
      </w:r>
      <w:r>
        <w:rPr>
          <w:rFonts w:hint="default" w:ascii="宋体" w:hAnsi="宋体" w:eastAsia="方正仿宋简体" w:cs="方正仿宋简体"/>
          <w:color w:val="auto"/>
          <w:highlight w:val="none"/>
          <w:lang w:val="en-US" w:eastAsia="zh-CN"/>
        </w:rPr>
        <w:t>团</w:t>
      </w:r>
      <w:r>
        <w:rPr>
          <w:rFonts w:hint="eastAsia" w:ascii="宋体" w:hAnsi="宋体" w:eastAsia="方正仿宋简体" w:cs="方正仿宋简体"/>
          <w:color w:val="auto"/>
          <w:highlight w:val="none"/>
          <w:lang w:val="en-US" w:eastAsia="zh-CN"/>
        </w:rPr>
        <w:t>区域内</w:t>
      </w:r>
      <w:r>
        <w:rPr>
          <w:rFonts w:hint="default" w:ascii="宋体" w:hAnsi="宋体" w:eastAsia="方正仿宋简体" w:cs="方正仿宋简体"/>
          <w:color w:val="auto"/>
          <w:highlight w:val="none"/>
        </w:rPr>
        <w:t>新建</w:t>
      </w:r>
      <w:r>
        <w:rPr>
          <w:rFonts w:hint="default" w:ascii="宋体" w:hAnsi="宋体" w:eastAsia="方正仿宋简体" w:cs="方正仿宋简体"/>
          <w:color w:val="auto"/>
          <w:highlight w:val="none"/>
          <w:lang w:val="en-US" w:eastAsia="zh-CN"/>
        </w:rPr>
        <w:t>加油站</w:t>
      </w:r>
      <w:r>
        <w:rPr>
          <w:rFonts w:hint="eastAsia" w:ascii="宋体" w:hAnsi="宋体" w:eastAsia="方正仿宋简体" w:cs="方正仿宋简体"/>
          <w:color w:val="auto"/>
          <w:highlight w:val="none"/>
          <w:lang w:val="en-US" w:eastAsia="zh-CN"/>
        </w:rPr>
        <w:t>5</w:t>
      </w:r>
      <w:r>
        <w:rPr>
          <w:rFonts w:hint="default" w:ascii="宋体" w:hAnsi="宋体" w:eastAsia="方正仿宋简体" w:cs="方正仿宋简体"/>
          <w:color w:val="auto"/>
          <w:highlight w:val="none"/>
          <w:lang w:val="en-US" w:eastAsia="zh-CN"/>
        </w:rPr>
        <w:t>座。</w:t>
      </w:r>
      <w:r>
        <w:rPr>
          <w:rFonts w:hint="eastAsia" w:ascii="宋体" w:hAnsi="宋体" w:eastAsia="方正仿宋简体" w:cs="方正仿宋简体"/>
          <w:color w:val="auto"/>
          <w:highlight w:val="none"/>
          <w:lang w:val="en-US" w:eastAsia="zh-CN"/>
        </w:rPr>
        <w:t>其中城镇区域3座、国省道2座，</w:t>
      </w:r>
      <w:r>
        <w:rPr>
          <w:rFonts w:hint="default" w:ascii="宋体" w:hAnsi="宋体" w:eastAsia="方正仿宋简体" w:cs="方正仿宋简体"/>
          <w:color w:val="auto"/>
          <w:highlight w:val="none"/>
          <w:lang w:val="en-US" w:eastAsia="zh-CN"/>
        </w:rPr>
        <w:t>站点选址位于第二师3</w:t>
      </w:r>
      <w:r>
        <w:rPr>
          <w:rFonts w:hint="eastAsia" w:ascii="宋体" w:hAnsi="宋体" w:eastAsia="方正仿宋简体" w:cs="方正仿宋简体"/>
          <w:color w:val="auto"/>
          <w:highlight w:val="none"/>
          <w:lang w:val="en-US" w:eastAsia="zh-CN"/>
        </w:rPr>
        <w:t>6</w:t>
      </w:r>
      <w:r>
        <w:rPr>
          <w:rFonts w:hint="default" w:ascii="宋体" w:hAnsi="宋体" w:eastAsia="方正仿宋简体" w:cs="方正仿宋简体"/>
          <w:color w:val="auto"/>
          <w:highlight w:val="none"/>
          <w:lang w:val="en-US" w:eastAsia="zh-CN"/>
        </w:rPr>
        <w:t>团</w:t>
      </w:r>
      <w:r>
        <w:rPr>
          <w:rFonts w:hint="eastAsia" w:ascii="宋体" w:hAnsi="宋体" w:eastAsia="方正仿宋简体" w:cs="方正仿宋简体"/>
          <w:color w:val="auto"/>
          <w:highlight w:val="none"/>
          <w:lang w:val="en-US" w:eastAsia="zh-CN"/>
        </w:rPr>
        <w:t>行政区域内</w:t>
      </w:r>
      <w:r>
        <w:rPr>
          <w:rFonts w:hint="default" w:ascii="宋体" w:hAnsi="宋体" w:eastAsia="方正仿宋简体" w:cs="方正仿宋简体"/>
          <w:color w:val="auto"/>
          <w:highlight w:val="none"/>
          <w:lang w:val="en-US" w:eastAsia="zh-CN"/>
        </w:rPr>
        <w:t>。</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5.</w:t>
      </w:r>
      <w:r>
        <w:rPr>
          <w:rFonts w:hint="default" w:ascii="宋体" w:hAnsi="宋体" w:eastAsia="方正仿宋简体" w:cs="方正仿宋简体"/>
          <w:color w:val="auto"/>
          <w:highlight w:val="none"/>
          <w:lang w:val="en-US" w:eastAsia="zh-CN"/>
        </w:rPr>
        <w:t>38团区域内新建加油站2座、其中城镇区域规划建设1座、315国道规划建设1座</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站点选址位于第二师3</w:t>
      </w:r>
      <w:r>
        <w:rPr>
          <w:rFonts w:hint="eastAsia" w:ascii="宋体" w:hAnsi="宋体" w:eastAsia="方正仿宋简体" w:cs="方正仿宋简体"/>
          <w:color w:val="auto"/>
          <w:highlight w:val="none"/>
          <w:lang w:val="en-US" w:eastAsia="zh-CN"/>
        </w:rPr>
        <w:t>8</w:t>
      </w:r>
      <w:r>
        <w:rPr>
          <w:rFonts w:hint="default" w:ascii="宋体" w:hAnsi="宋体" w:eastAsia="方正仿宋简体" w:cs="方正仿宋简体"/>
          <w:color w:val="auto"/>
          <w:highlight w:val="none"/>
          <w:lang w:val="en-US" w:eastAsia="zh-CN"/>
        </w:rPr>
        <w:t>团</w:t>
      </w:r>
      <w:r>
        <w:rPr>
          <w:rFonts w:hint="eastAsia" w:ascii="宋体" w:hAnsi="宋体" w:eastAsia="方正仿宋简体" w:cs="方正仿宋简体"/>
          <w:color w:val="auto"/>
          <w:highlight w:val="none"/>
          <w:lang w:val="en-US" w:eastAsia="zh-CN"/>
        </w:rPr>
        <w:t>行政区域内</w:t>
      </w:r>
      <w:r>
        <w:rPr>
          <w:rFonts w:hint="default" w:ascii="宋体" w:hAnsi="宋体" w:eastAsia="方正仿宋简体" w:cs="方正仿宋简体"/>
          <w:color w:val="auto"/>
          <w:highlight w:val="none"/>
          <w:lang w:val="en-US" w:eastAsia="zh-CN"/>
        </w:rPr>
        <w:t>。</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6.</w:t>
      </w:r>
      <w:r>
        <w:rPr>
          <w:rFonts w:hint="default" w:ascii="宋体" w:hAnsi="宋体" w:eastAsia="方正仿宋简体" w:cs="方正仿宋简体"/>
          <w:color w:val="auto"/>
          <w:highlight w:val="none"/>
          <w:lang w:val="en-US" w:eastAsia="zh-CN"/>
        </w:rPr>
        <w:t>铁门关市区域内</w:t>
      </w:r>
      <w:r>
        <w:rPr>
          <w:rFonts w:hint="default" w:ascii="宋体" w:hAnsi="宋体" w:eastAsia="方正仿宋简体" w:cs="方正仿宋简体"/>
          <w:color w:val="auto"/>
          <w:highlight w:val="none"/>
        </w:rPr>
        <w:t>(包括工业园区、</w:t>
      </w:r>
      <w:r>
        <w:rPr>
          <w:rFonts w:hint="eastAsia" w:ascii="宋体" w:hAnsi="宋体" w:eastAsia="方正仿宋简体" w:cs="方正仿宋简体"/>
          <w:color w:val="auto"/>
          <w:highlight w:val="none"/>
          <w:lang w:eastAsia="zh-CN"/>
        </w:rPr>
        <w:t>开发区、</w:t>
      </w:r>
      <w:r>
        <w:rPr>
          <w:rFonts w:hint="default" w:ascii="宋体" w:hAnsi="宋体" w:eastAsia="方正仿宋简体" w:cs="方正仿宋简体"/>
          <w:color w:val="auto"/>
          <w:highlight w:val="none"/>
        </w:rPr>
        <w:t>物流园区)</w:t>
      </w:r>
      <w:r>
        <w:rPr>
          <w:rFonts w:hint="default" w:ascii="宋体" w:hAnsi="宋体" w:eastAsia="方正仿宋简体" w:cs="方正仿宋简体"/>
          <w:color w:val="auto"/>
          <w:highlight w:val="none"/>
          <w:lang w:val="en-US" w:eastAsia="zh-CN"/>
        </w:rPr>
        <w:t>新建加油站</w:t>
      </w:r>
      <w:r>
        <w:rPr>
          <w:rFonts w:hint="eastAsia" w:ascii="宋体" w:hAnsi="宋体" w:eastAsia="方正仿宋简体" w:cs="方正仿宋简体"/>
          <w:color w:val="auto"/>
          <w:highlight w:val="none"/>
          <w:lang w:val="en-US" w:eastAsia="zh-CN"/>
        </w:rPr>
        <w:t>7</w:t>
      </w:r>
      <w:r>
        <w:rPr>
          <w:rFonts w:hint="default" w:ascii="宋体" w:hAnsi="宋体" w:eastAsia="方正仿宋简体" w:cs="方正仿宋简体"/>
          <w:color w:val="auto"/>
          <w:highlight w:val="none"/>
          <w:lang w:val="en-US" w:eastAsia="zh-CN"/>
        </w:rPr>
        <w:t>座</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站点选址位于铁门关市域，</w:t>
      </w:r>
      <w:r>
        <w:rPr>
          <w:rFonts w:hint="default" w:ascii="宋体" w:hAnsi="宋体" w:eastAsia="方正仿宋简体" w:cs="方正仿宋简体"/>
          <w:color w:val="auto"/>
          <w:highlight w:val="none"/>
        </w:rPr>
        <w:t>以配套适应铁门关市城市发展需要</w:t>
      </w:r>
      <w:r>
        <w:rPr>
          <w:rFonts w:hint="default" w:ascii="宋体" w:hAnsi="宋体" w:eastAsia="方正仿宋简体" w:cs="方正仿宋简体"/>
          <w:color w:val="auto"/>
          <w:highlight w:val="none"/>
          <w:lang w:eastAsia="zh-CN"/>
        </w:rPr>
        <w:t>。</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7.</w:t>
      </w:r>
      <w:r>
        <w:rPr>
          <w:rFonts w:hint="default" w:ascii="宋体" w:hAnsi="宋体" w:eastAsia="方正仿宋简体" w:cs="方正仿宋简体"/>
          <w:color w:val="auto"/>
          <w:highlight w:val="none"/>
          <w:lang w:val="en-US" w:eastAsia="zh-CN"/>
        </w:rPr>
        <w:t>29团</w:t>
      </w:r>
      <w:r>
        <w:rPr>
          <w:rFonts w:hint="eastAsia" w:ascii="宋体" w:hAnsi="宋体" w:eastAsia="方正仿宋简体" w:cs="方正仿宋简体"/>
          <w:color w:val="auto"/>
          <w:highlight w:val="none"/>
          <w:lang w:val="en-US" w:eastAsia="zh-CN"/>
        </w:rPr>
        <w:t>区域内新建加油站4座。其中</w:t>
      </w:r>
      <w:r>
        <w:rPr>
          <w:rFonts w:hint="default" w:ascii="宋体" w:hAnsi="宋体" w:eastAsia="方正仿宋简体" w:cs="方正仿宋简体"/>
          <w:color w:val="auto"/>
          <w:highlight w:val="none"/>
          <w:lang w:val="en-US" w:eastAsia="zh-CN"/>
        </w:rPr>
        <w:t>博古其镇区域内</w:t>
      </w:r>
      <w:r>
        <w:rPr>
          <w:rFonts w:hint="eastAsia" w:ascii="宋体" w:hAnsi="宋体" w:eastAsia="方正仿宋简体" w:cs="方正仿宋简体"/>
          <w:color w:val="auto"/>
          <w:highlight w:val="none"/>
          <w:lang w:val="en-US" w:eastAsia="zh-CN"/>
        </w:rPr>
        <w:t>3</w:t>
      </w:r>
      <w:r>
        <w:rPr>
          <w:rFonts w:hint="default" w:ascii="宋体" w:hAnsi="宋体" w:eastAsia="方正仿宋简体" w:cs="方正仿宋简体"/>
          <w:color w:val="auto"/>
          <w:highlight w:val="none"/>
          <w:lang w:val="en-US" w:eastAsia="zh-CN"/>
        </w:rPr>
        <w:t>座，</w:t>
      </w:r>
      <w:r>
        <w:rPr>
          <w:rFonts w:hint="eastAsia" w:ascii="宋体" w:hAnsi="宋体" w:eastAsia="方正仿宋简体" w:cs="方正仿宋简体"/>
          <w:color w:val="auto"/>
          <w:highlight w:val="none"/>
          <w:lang w:val="en-US" w:eastAsia="zh-CN"/>
        </w:rPr>
        <w:t>园7连1座，</w:t>
      </w:r>
      <w:r>
        <w:rPr>
          <w:rFonts w:hint="default" w:ascii="宋体" w:hAnsi="宋体" w:eastAsia="方正仿宋简体" w:cs="方正仿宋简体"/>
          <w:color w:val="auto"/>
          <w:highlight w:val="none"/>
        </w:rPr>
        <w:t>以配套适应发展需要</w:t>
      </w:r>
      <w:r>
        <w:rPr>
          <w:rFonts w:hint="default" w:ascii="宋体" w:hAnsi="宋体" w:eastAsia="方正仿宋简体" w:cs="方正仿宋简体"/>
          <w:color w:val="auto"/>
          <w:highlight w:val="none"/>
          <w:lang w:eastAsia="zh-CN"/>
        </w:rPr>
        <w:t>。</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8.轮台县兵地共建产业园</w:t>
      </w:r>
      <w:r>
        <w:rPr>
          <w:rFonts w:hint="default" w:ascii="宋体" w:hAnsi="宋体" w:eastAsia="方正仿宋简体" w:cs="方正仿宋简体"/>
          <w:color w:val="auto"/>
          <w:highlight w:val="none"/>
          <w:lang w:val="en-US" w:eastAsia="zh-CN"/>
        </w:rPr>
        <w:t>区域内规划加油站2座</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rPr>
        <w:t>以配套适应</w:t>
      </w:r>
      <w:r>
        <w:rPr>
          <w:rFonts w:hint="eastAsia" w:ascii="宋体" w:hAnsi="宋体" w:eastAsia="方正仿宋简体" w:cs="方正仿宋简体"/>
          <w:color w:val="auto"/>
          <w:highlight w:val="none"/>
          <w:lang w:eastAsia="zh-CN"/>
        </w:rPr>
        <w:t>园区</w:t>
      </w:r>
      <w:r>
        <w:rPr>
          <w:rFonts w:hint="default" w:ascii="宋体" w:hAnsi="宋体" w:eastAsia="方正仿宋简体" w:cs="方正仿宋简体"/>
          <w:color w:val="auto"/>
          <w:highlight w:val="none"/>
        </w:rPr>
        <w:t>发展</w:t>
      </w:r>
      <w:r>
        <w:rPr>
          <w:rFonts w:hint="eastAsia" w:ascii="宋体" w:hAnsi="宋体" w:eastAsia="方正仿宋简体" w:cs="方正仿宋简体"/>
          <w:color w:val="auto"/>
          <w:highlight w:val="none"/>
          <w:lang w:eastAsia="zh-CN"/>
        </w:rPr>
        <w:t>建设</w:t>
      </w:r>
      <w:r>
        <w:rPr>
          <w:rFonts w:hint="default" w:ascii="宋体" w:hAnsi="宋体" w:eastAsia="方正仿宋简体" w:cs="方正仿宋简体"/>
          <w:color w:val="auto"/>
          <w:highlight w:val="none"/>
        </w:rPr>
        <w:t>需要</w:t>
      </w:r>
      <w:r>
        <w:rPr>
          <w:rFonts w:hint="default" w:ascii="宋体" w:hAnsi="宋体" w:eastAsia="方正仿宋简体" w:cs="方正仿宋简体"/>
          <w:color w:val="auto"/>
          <w:highlight w:val="none"/>
          <w:lang w:eastAsia="zh-CN"/>
        </w:rPr>
        <w:t>。</w:t>
      </w:r>
    </w:p>
    <w:p>
      <w:pPr>
        <w:bidi w:val="0"/>
        <w:rPr>
          <w:rFonts w:hint="default" w:ascii="宋体" w:hAnsi="宋体" w:eastAsia="方正仿宋简体" w:cs="方正仿宋简体"/>
          <w:b/>
          <w:bCs/>
          <w:color w:val="auto"/>
          <w:highlight w:val="none"/>
          <w:lang w:val="en-US" w:eastAsia="zh-CN"/>
        </w:rPr>
      </w:pPr>
      <w:r>
        <w:rPr>
          <w:rFonts w:hint="default" w:ascii="宋体" w:hAnsi="宋体" w:eastAsia="方正仿宋简体" w:cs="方正仿宋简体"/>
          <w:b/>
          <w:bCs/>
          <w:color w:val="auto"/>
          <w:highlight w:val="none"/>
          <w:lang w:val="en-US" w:eastAsia="zh-CN"/>
        </w:rPr>
        <w:t>二、</w:t>
      </w:r>
      <w:r>
        <w:rPr>
          <w:rFonts w:hint="eastAsia" w:ascii="宋体" w:hAnsi="宋体" w:eastAsia="方正仿宋简体" w:cs="方正仿宋简体"/>
          <w:b/>
          <w:bCs/>
          <w:color w:val="auto"/>
          <w:highlight w:val="none"/>
          <w:lang w:val="en-US" w:eastAsia="zh-CN"/>
        </w:rPr>
        <w:t>迁址新建、</w:t>
      </w:r>
      <w:r>
        <w:rPr>
          <w:rFonts w:hint="default" w:ascii="宋体" w:hAnsi="宋体" w:eastAsia="方正仿宋简体" w:cs="方正仿宋简体"/>
          <w:b/>
          <w:bCs/>
          <w:color w:val="auto"/>
          <w:highlight w:val="none"/>
          <w:lang w:val="en-US" w:eastAsia="zh-CN"/>
        </w:rPr>
        <w:t>改扩建加油站</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1.</w:t>
      </w:r>
      <w:r>
        <w:rPr>
          <w:rFonts w:hint="default" w:ascii="宋体" w:hAnsi="宋体" w:eastAsia="方正仿宋简体" w:cs="方正仿宋简体"/>
          <w:color w:val="auto"/>
          <w:highlight w:val="none"/>
          <w:lang w:val="en-US" w:eastAsia="zh-CN"/>
        </w:rPr>
        <w:t>兵团石油公司</w:t>
      </w:r>
      <w:r>
        <w:rPr>
          <w:rFonts w:hint="eastAsia" w:ascii="宋体" w:hAnsi="宋体" w:eastAsia="方正仿宋简体" w:cs="方正仿宋简体"/>
          <w:color w:val="auto"/>
          <w:highlight w:val="none"/>
          <w:lang w:val="en-US" w:eastAsia="zh-CN"/>
        </w:rPr>
        <w:t>29</w:t>
      </w:r>
      <w:r>
        <w:rPr>
          <w:rFonts w:hint="default" w:ascii="宋体" w:hAnsi="宋体" w:eastAsia="方正仿宋简体" w:cs="方正仿宋简体"/>
          <w:color w:val="auto"/>
          <w:highlight w:val="none"/>
          <w:lang w:val="en-US" w:eastAsia="zh-CN"/>
        </w:rPr>
        <w:t>团</w:t>
      </w:r>
      <w:r>
        <w:rPr>
          <w:rFonts w:hint="eastAsia" w:ascii="宋体" w:hAnsi="宋体" w:eastAsia="方正仿宋简体" w:cs="方正仿宋简体"/>
          <w:color w:val="auto"/>
          <w:highlight w:val="none"/>
          <w:lang w:val="en-US" w:eastAsia="zh-CN"/>
        </w:rPr>
        <w:t>金雀</w:t>
      </w:r>
      <w:r>
        <w:rPr>
          <w:rFonts w:hint="default" w:ascii="宋体" w:hAnsi="宋体" w:eastAsia="方正仿宋简体" w:cs="方正仿宋简体"/>
          <w:color w:val="auto"/>
          <w:highlight w:val="none"/>
          <w:lang w:val="en-US" w:eastAsia="zh-CN"/>
        </w:rPr>
        <w:t>加油站</w:t>
      </w:r>
      <w:r>
        <w:rPr>
          <w:rFonts w:hint="eastAsia" w:ascii="宋体" w:hAnsi="宋体" w:eastAsia="方正仿宋简体" w:cs="方正仿宋简体"/>
          <w:color w:val="auto"/>
          <w:highlight w:val="none"/>
          <w:lang w:val="en-US" w:eastAsia="zh-CN"/>
        </w:rPr>
        <w:t>迁址新建站</w:t>
      </w:r>
      <w:r>
        <w:rPr>
          <w:rFonts w:hint="default" w:ascii="宋体" w:hAnsi="宋体" w:eastAsia="方正仿宋简体" w:cs="方正仿宋简体"/>
          <w:color w:val="auto"/>
          <w:highlight w:val="none"/>
          <w:lang w:val="en-US" w:eastAsia="zh-CN"/>
        </w:rPr>
        <w:t>。该站位于第二师</w:t>
      </w:r>
      <w:r>
        <w:rPr>
          <w:rFonts w:hint="eastAsia" w:ascii="宋体" w:hAnsi="宋体" w:eastAsia="方正仿宋简体" w:cs="方正仿宋简体"/>
          <w:color w:val="auto"/>
          <w:highlight w:val="none"/>
          <w:lang w:val="en-US" w:eastAsia="zh-CN"/>
        </w:rPr>
        <w:t>29</w:t>
      </w:r>
      <w:r>
        <w:rPr>
          <w:rFonts w:hint="default" w:ascii="宋体" w:hAnsi="宋体" w:eastAsia="方正仿宋简体" w:cs="方正仿宋简体"/>
          <w:color w:val="auto"/>
          <w:highlight w:val="none"/>
          <w:lang w:val="en-US" w:eastAsia="zh-CN"/>
        </w:rPr>
        <w:t>团，</w:t>
      </w:r>
      <w:r>
        <w:rPr>
          <w:rFonts w:hint="eastAsia" w:ascii="宋体" w:hAnsi="宋体" w:eastAsia="方正仿宋简体" w:cs="方正仿宋简体"/>
          <w:color w:val="auto"/>
          <w:highlight w:val="none"/>
          <w:lang w:val="en-US" w:eastAsia="zh-CN"/>
        </w:rPr>
        <w:t>为配合师市道路升级改造迁址新建，</w:t>
      </w:r>
      <w:r>
        <w:rPr>
          <w:rFonts w:hint="default" w:ascii="宋体" w:hAnsi="宋体" w:eastAsia="方正仿宋简体" w:cs="方正仿宋简体"/>
          <w:color w:val="auto"/>
          <w:highlight w:val="none"/>
          <w:lang w:val="en-US" w:eastAsia="zh-CN"/>
        </w:rPr>
        <w:t>服务于第二师</w:t>
      </w:r>
      <w:r>
        <w:rPr>
          <w:rFonts w:hint="eastAsia" w:ascii="宋体" w:hAnsi="宋体" w:eastAsia="方正仿宋简体" w:cs="方正仿宋简体"/>
          <w:color w:val="auto"/>
          <w:highlight w:val="none"/>
          <w:lang w:val="en-US" w:eastAsia="zh-CN"/>
        </w:rPr>
        <w:t>29</w:t>
      </w:r>
      <w:r>
        <w:rPr>
          <w:rFonts w:hint="default" w:ascii="宋体" w:hAnsi="宋体" w:eastAsia="方正仿宋简体" w:cs="方正仿宋简体"/>
          <w:color w:val="auto"/>
          <w:highlight w:val="none"/>
          <w:lang w:val="en-US" w:eastAsia="zh-CN"/>
        </w:rPr>
        <w:t>团及过往车辆</w:t>
      </w:r>
      <w:r>
        <w:rPr>
          <w:rFonts w:hint="eastAsia" w:ascii="宋体" w:hAnsi="宋体" w:eastAsia="方正仿宋简体" w:cs="方正仿宋简体"/>
          <w:color w:val="auto"/>
          <w:highlight w:val="none"/>
          <w:lang w:val="en-US" w:eastAsia="zh-CN"/>
        </w:rPr>
        <w:t>。</w:t>
      </w:r>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w:t>
      </w:r>
      <w:r>
        <w:rPr>
          <w:rFonts w:hint="default" w:ascii="宋体" w:hAnsi="宋体" w:eastAsia="方正仿宋简体" w:cs="方正仿宋简体"/>
          <w:color w:val="auto"/>
          <w:highlight w:val="none"/>
          <w:lang w:val="en-US" w:eastAsia="zh-CN"/>
        </w:rPr>
        <w:t>兵团石油公司223团加油站</w:t>
      </w:r>
      <w:r>
        <w:rPr>
          <w:rFonts w:hint="eastAsia" w:ascii="宋体" w:hAnsi="宋体" w:eastAsia="方正仿宋简体" w:cs="方正仿宋简体"/>
          <w:color w:val="auto"/>
          <w:highlight w:val="none"/>
          <w:lang w:val="en-US" w:eastAsia="zh-CN"/>
        </w:rPr>
        <w:t>原址</w:t>
      </w:r>
      <w:r>
        <w:rPr>
          <w:rFonts w:hint="default" w:ascii="宋体" w:hAnsi="宋体" w:eastAsia="方正仿宋简体" w:cs="方正仿宋简体"/>
          <w:color w:val="auto"/>
          <w:highlight w:val="none"/>
          <w:lang w:val="en-US" w:eastAsia="zh-CN"/>
        </w:rPr>
        <w:t>改扩建。该站位于第二师223团，</w:t>
      </w:r>
      <w:r>
        <w:rPr>
          <w:rFonts w:hint="eastAsia" w:ascii="宋体" w:hAnsi="宋体" w:eastAsia="方正仿宋简体" w:cs="方正仿宋简体"/>
          <w:color w:val="auto"/>
          <w:highlight w:val="none"/>
          <w:lang w:val="en-US" w:eastAsia="zh-CN"/>
        </w:rPr>
        <w:t>因场地布局及规模较小，改扩建为加油加气站，</w:t>
      </w:r>
      <w:r>
        <w:rPr>
          <w:rFonts w:hint="default" w:ascii="宋体" w:hAnsi="宋体" w:eastAsia="方正仿宋简体" w:cs="方正仿宋简体"/>
          <w:color w:val="auto"/>
          <w:highlight w:val="none"/>
          <w:lang w:val="en-US" w:eastAsia="zh-CN"/>
        </w:rPr>
        <w:t>服务于第二师223团及过往车辆</w:t>
      </w:r>
      <w:r>
        <w:rPr>
          <w:rFonts w:hint="eastAsia" w:ascii="宋体" w:hAnsi="宋体" w:eastAsia="方正仿宋简体" w:cs="方正仿宋简体"/>
          <w:color w:val="auto"/>
          <w:highlight w:val="none"/>
          <w:lang w:val="en-US" w:eastAsia="zh-CN"/>
        </w:rPr>
        <w:t>。</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3.</w:t>
      </w:r>
      <w:r>
        <w:rPr>
          <w:rFonts w:hint="default" w:ascii="宋体" w:hAnsi="宋体" w:eastAsia="方正仿宋简体" w:cs="方正仿宋简体"/>
          <w:color w:val="auto"/>
          <w:highlight w:val="none"/>
          <w:lang w:val="en-US" w:eastAsia="zh-CN"/>
        </w:rPr>
        <w:t>兵团石油公司33团加油站</w:t>
      </w:r>
      <w:r>
        <w:rPr>
          <w:rFonts w:hint="eastAsia" w:ascii="宋体" w:hAnsi="宋体" w:eastAsia="方正仿宋简体" w:cs="方正仿宋简体"/>
          <w:color w:val="auto"/>
          <w:highlight w:val="none"/>
          <w:lang w:val="en-US" w:eastAsia="zh-CN"/>
        </w:rPr>
        <w:t>原址</w:t>
      </w:r>
      <w:r>
        <w:rPr>
          <w:rFonts w:hint="default" w:ascii="宋体" w:hAnsi="宋体" w:eastAsia="方正仿宋简体" w:cs="方正仿宋简体"/>
          <w:color w:val="auto"/>
          <w:highlight w:val="none"/>
          <w:lang w:val="en-US" w:eastAsia="zh-CN"/>
        </w:rPr>
        <w:t>改扩建。该站位于第二师33团，</w:t>
      </w:r>
      <w:r>
        <w:rPr>
          <w:rFonts w:hint="eastAsia" w:ascii="宋体" w:hAnsi="宋体" w:eastAsia="方正仿宋简体" w:cs="方正仿宋简体"/>
          <w:color w:val="auto"/>
          <w:highlight w:val="none"/>
          <w:lang w:val="en-US" w:eastAsia="zh-CN"/>
        </w:rPr>
        <w:t>因场地布局及规模较小，改扩建为加油加气站，</w:t>
      </w:r>
      <w:r>
        <w:rPr>
          <w:rFonts w:hint="default" w:ascii="宋体" w:hAnsi="宋体" w:eastAsia="方正仿宋简体" w:cs="方正仿宋简体"/>
          <w:color w:val="auto"/>
          <w:highlight w:val="none"/>
          <w:lang w:val="en-US" w:eastAsia="zh-CN"/>
        </w:rPr>
        <w:t>服务于第二师</w:t>
      </w:r>
      <w:r>
        <w:rPr>
          <w:rFonts w:hint="eastAsia" w:ascii="宋体" w:hAnsi="宋体" w:eastAsia="方正仿宋简体" w:cs="方正仿宋简体"/>
          <w:color w:val="auto"/>
          <w:highlight w:val="none"/>
          <w:lang w:val="en-US" w:eastAsia="zh-CN"/>
        </w:rPr>
        <w:t>3</w:t>
      </w:r>
      <w:r>
        <w:rPr>
          <w:rFonts w:hint="default" w:ascii="宋体" w:hAnsi="宋体" w:eastAsia="方正仿宋简体" w:cs="方正仿宋简体"/>
          <w:color w:val="auto"/>
          <w:highlight w:val="none"/>
          <w:lang w:val="en-US" w:eastAsia="zh-CN"/>
        </w:rPr>
        <w:t>3团及过往车辆</w:t>
      </w:r>
      <w:r>
        <w:rPr>
          <w:rFonts w:hint="eastAsia" w:ascii="宋体" w:hAnsi="宋体" w:eastAsia="方正仿宋简体" w:cs="方正仿宋简体"/>
          <w:color w:val="auto"/>
          <w:highlight w:val="none"/>
          <w:lang w:val="en-US" w:eastAsia="zh-CN"/>
        </w:rPr>
        <w:t>。</w:t>
      </w:r>
    </w:p>
    <w:p>
      <w:pPr>
        <w:bidi w:val="0"/>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4.</w:t>
      </w:r>
      <w:r>
        <w:rPr>
          <w:rFonts w:hint="default" w:ascii="宋体" w:hAnsi="宋体" w:eastAsia="方正仿宋简体" w:cs="方正仿宋简体"/>
          <w:color w:val="auto"/>
          <w:highlight w:val="none"/>
          <w:lang w:val="en-US" w:eastAsia="zh-CN"/>
        </w:rPr>
        <w:t>兵团石油公司</w:t>
      </w:r>
      <w:r>
        <w:rPr>
          <w:rFonts w:hint="eastAsia" w:ascii="宋体" w:hAnsi="宋体" w:eastAsia="方正仿宋简体" w:cs="方正仿宋简体"/>
          <w:color w:val="auto"/>
          <w:highlight w:val="none"/>
          <w:lang w:val="en-US" w:eastAsia="zh-CN"/>
        </w:rPr>
        <w:t>卡拉</w:t>
      </w:r>
      <w:r>
        <w:rPr>
          <w:rFonts w:hint="default" w:ascii="宋体" w:hAnsi="宋体" w:eastAsia="方正仿宋简体" w:cs="方正仿宋简体"/>
          <w:color w:val="auto"/>
          <w:highlight w:val="none"/>
          <w:lang w:val="en-US" w:eastAsia="zh-CN"/>
        </w:rPr>
        <w:t>加油站</w:t>
      </w:r>
      <w:r>
        <w:rPr>
          <w:rFonts w:hint="eastAsia" w:ascii="宋体" w:hAnsi="宋体" w:eastAsia="方正仿宋简体" w:cs="方正仿宋简体"/>
          <w:color w:val="auto"/>
          <w:highlight w:val="none"/>
          <w:lang w:val="en-US" w:eastAsia="zh-CN"/>
        </w:rPr>
        <w:t>原址</w:t>
      </w:r>
      <w:r>
        <w:rPr>
          <w:rFonts w:hint="default" w:ascii="宋体" w:hAnsi="宋体" w:eastAsia="方正仿宋简体" w:cs="方正仿宋简体"/>
          <w:color w:val="auto"/>
          <w:highlight w:val="none"/>
          <w:lang w:val="en-US" w:eastAsia="zh-CN"/>
        </w:rPr>
        <w:t>改扩建。该站位于第二师3</w:t>
      </w:r>
      <w:r>
        <w:rPr>
          <w:rFonts w:hint="eastAsia" w:ascii="宋体" w:hAnsi="宋体" w:eastAsia="方正仿宋简体" w:cs="方正仿宋简体"/>
          <w:color w:val="auto"/>
          <w:highlight w:val="none"/>
          <w:lang w:val="en-US" w:eastAsia="zh-CN"/>
        </w:rPr>
        <w:t>1</w:t>
      </w:r>
      <w:r>
        <w:rPr>
          <w:rFonts w:hint="default" w:ascii="宋体" w:hAnsi="宋体" w:eastAsia="方正仿宋简体" w:cs="方正仿宋简体"/>
          <w:color w:val="auto"/>
          <w:highlight w:val="none"/>
          <w:lang w:val="en-US" w:eastAsia="zh-CN"/>
        </w:rPr>
        <w:t>团</w:t>
      </w:r>
      <w:r>
        <w:rPr>
          <w:rFonts w:hint="eastAsia" w:ascii="宋体" w:hAnsi="宋体" w:eastAsia="方正仿宋简体" w:cs="方正仿宋简体"/>
          <w:color w:val="auto"/>
          <w:highlight w:val="none"/>
          <w:lang w:val="en-US" w:eastAsia="zh-CN"/>
        </w:rPr>
        <w:t>卡拉水库</w:t>
      </w:r>
      <w:r>
        <w:rPr>
          <w:rFonts w:hint="default" w:ascii="宋体" w:hAnsi="宋体" w:eastAsia="方正仿宋简体" w:cs="方正仿宋简体"/>
          <w:color w:val="auto"/>
          <w:highlight w:val="none"/>
          <w:lang w:val="en-US" w:eastAsia="zh-CN"/>
        </w:rPr>
        <w:t>，</w:t>
      </w:r>
      <w:r>
        <w:rPr>
          <w:rFonts w:hint="eastAsia" w:ascii="宋体" w:hAnsi="宋体" w:eastAsia="方正仿宋简体" w:cs="方正仿宋简体"/>
          <w:color w:val="auto"/>
          <w:highlight w:val="none"/>
          <w:lang w:val="en-US" w:eastAsia="zh-CN"/>
        </w:rPr>
        <w:t>因场地布局及规模较小，改扩建为加油加气站，</w:t>
      </w:r>
      <w:r>
        <w:rPr>
          <w:rFonts w:hint="default" w:ascii="宋体" w:hAnsi="宋体" w:eastAsia="方正仿宋简体" w:cs="方正仿宋简体"/>
          <w:color w:val="auto"/>
          <w:highlight w:val="none"/>
          <w:lang w:val="en-US" w:eastAsia="zh-CN"/>
        </w:rPr>
        <w:t>服务于第二师</w:t>
      </w:r>
      <w:r>
        <w:rPr>
          <w:rFonts w:hint="eastAsia" w:ascii="宋体" w:hAnsi="宋体" w:eastAsia="方正仿宋简体" w:cs="方正仿宋简体"/>
          <w:color w:val="auto"/>
          <w:highlight w:val="none"/>
          <w:lang w:val="en-US" w:eastAsia="zh-CN"/>
        </w:rPr>
        <w:t>31</w:t>
      </w:r>
      <w:r>
        <w:rPr>
          <w:rFonts w:hint="default" w:ascii="宋体" w:hAnsi="宋体" w:eastAsia="方正仿宋简体" w:cs="方正仿宋简体"/>
          <w:color w:val="auto"/>
          <w:highlight w:val="none"/>
          <w:lang w:val="en-US" w:eastAsia="zh-CN"/>
        </w:rPr>
        <w:t>团及</w:t>
      </w:r>
      <w:r>
        <w:rPr>
          <w:rFonts w:hint="eastAsia" w:ascii="宋体" w:hAnsi="宋体" w:eastAsia="方正仿宋简体" w:cs="方正仿宋简体"/>
          <w:color w:val="auto"/>
          <w:highlight w:val="none"/>
          <w:lang w:val="en-US" w:eastAsia="zh-CN"/>
        </w:rPr>
        <w:t>卡拉水库和</w:t>
      </w:r>
      <w:r>
        <w:rPr>
          <w:rFonts w:hint="default" w:ascii="宋体" w:hAnsi="宋体" w:eastAsia="方正仿宋简体" w:cs="方正仿宋简体"/>
          <w:color w:val="auto"/>
          <w:highlight w:val="none"/>
          <w:lang w:val="en-US" w:eastAsia="zh-CN"/>
        </w:rPr>
        <w:t>过往车辆</w:t>
      </w:r>
      <w:r>
        <w:rPr>
          <w:rFonts w:hint="eastAsia" w:ascii="宋体" w:hAnsi="宋体" w:eastAsia="方正仿宋简体" w:cs="方正仿宋简体"/>
          <w:color w:val="auto"/>
          <w:highlight w:val="none"/>
          <w:lang w:val="en-US" w:eastAsia="zh-CN"/>
        </w:rPr>
        <w:t>。</w:t>
      </w:r>
    </w:p>
    <w:p>
      <w:pPr>
        <w:pStyle w:val="2"/>
        <w:rPr>
          <w:rFonts w:hint="default" w:ascii="宋体" w:hAnsi="宋体"/>
          <w:color w:val="auto"/>
          <w:lang w:val="en-US" w:eastAsia="zh-CN"/>
        </w:rPr>
      </w:pPr>
    </w:p>
    <w:p>
      <w:pPr>
        <w:pStyle w:val="2"/>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ind w:left="0" w:leftChars="0" w:firstLine="0" w:firstLineChars="0"/>
        <w:rPr>
          <w:rFonts w:hint="default" w:ascii="宋体" w:hAnsi="宋体"/>
          <w:color w:val="auto"/>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center"/>
        <w:textAlignment w:val="auto"/>
        <w:rPr>
          <w:rFonts w:hint="eastAsia" w:ascii="宋体" w:hAnsi="宋体" w:eastAsia="方正小标宋简体" w:cs="方正小标宋简体"/>
          <w:b w:val="0"/>
          <w:bCs w:val="0"/>
          <w:color w:val="auto"/>
          <w:sz w:val="32"/>
          <w:szCs w:val="32"/>
          <w:lang w:val="en-US" w:eastAsia="zh-CN"/>
        </w:rPr>
      </w:pPr>
      <w:r>
        <w:rPr>
          <w:rFonts w:hint="eastAsia" w:ascii="宋体" w:hAnsi="宋体" w:eastAsia="方正小标宋简体" w:cs="方正小标宋简体"/>
          <w:b w:val="0"/>
          <w:bCs w:val="0"/>
          <w:color w:val="auto"/>
          <w:sz w:val="32"/>
          <w:szCs w:val="32"/>
          <w:lang w:val="en-US" w:eastAsia="zh-CN"/>
        </w:rPr>
        <w:t>第二师铁门关市“十四五”期间新建、迁址、改</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center"/>
        <w:textAlignment w:val="auto"/>
        <w:rPr>
          <w:rFonts w:hint="eastAsia" w:ascii="宋体" w:hAnsi="宋体" w:eastAsia="方正小标宋简体" w:cs="方正小标宋简体"/>
          <w:b w:val="0"/>
          <w:bCs w:val="0"/>
          <w:color w:val="auto"/>
          <w:sz w:val="32"/>
          <w:szCs w:val="32"/>
          <w:lang w:val="en-US" w:eastAsia="zh-CN"/>
        </w:rPr>
      </w:pPr>
      <w:r>
        <w:rPr>
          <w:rFonts w:hint="eastAsia" w:ascii="宋体" w:hAnsi="宋体" w:eastAsia="方正小标宋简体" w:cs="方正小标宋简体"/>
          <w:b w:val="0"/>
          <w:bCs w:val="0"/>
          <w:color w:val="auto"/>
          <w:sz w:val="32"/>
          <w:szCs w:val="32"/>
          <w:lang w:val="en-US" w:eastAsia="zh-CN"/>
        </w:rPr>
        <w:t>扩建加油（气）站明细表</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center"/>
        <w:textAlignment w:val="auto"/>
        <w:rPr>
          <w:rFonts w:hint="eastAsia" w:ascii="宋体" w:hAnsi="宋体" w:eastAsia="方正小标宋简体" w:cs="方正小标宋简体"/>
          <w:b w:val="0"/>
          <w:bCs w:val="0"/>
          <w:color w:val="auto"/>
          <w:sz w:val="32"/>
          <w:szCs w:val="32"/>
          <w:lang w:val="en-US" w:eastAsia="zh-CN"/>
        </w:rPr>
      </w:pPr>
    </w:p>
    <w:tbl>
      <w:tblPr>
        <w:tblStyle w:val="14"/>
        <w:tblW w:w="858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4"/>
        <w:gridCol w:w="1562"/>
        <w:gridCol w:w="1920"/>
        <w:gridCol w:w="1469"/>
        <w:gridCol w:w="873"/>
        <w:gridCol w:w="1172"/>
        <w:gridCol w:w="8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0" w:firstLineChars="0"/>
              <w:jc w:val="center"/>
              <w:textAlignment w:val="center"/>
              <w:rPr>
                <w:rFonts w:hint="eastAsia" w:ascii="宋体" w:hAnsi="宋体" w:eastAsia="黑体" w:cs="黑体"/>
                <w:b w:val="0"/>
                <w:bCs w:val="0"/>
                <w:i w:val="0"/>
                <w:iCs w:val="0"/>
                <w:color w:val="auto"/>
                <w:sz w:val="30"/>
                <w:szCs w:val="30"/>
                <w:u w:val="none"/>
              </w:rPr>
            </w:pPr>
            <w:r>
              <w:rPr>
                <w:rFonts w:hint="eastAsia" w:ascii="宋体" w:hAnsi="宋体" w:eastAsia="黑体" w:cs="黑体"/>
                <w:b w:val="0"/>
                <w:bCs w:val="0"/>
                <w:i w:val="0"/>
                <w:iCs w:val="0"/>
                <w:color w:val="auto"/>
                <w:kern w:val="0"/>
                <w:sz w:val="30"/>
                <w:szCs w:val="30"/>
                <w:u w:val="none"/>
                <w:lang w:val="en-US" w:eastAsia="zh-CN" w:bidi="ar"/>
              </w:rPr>
              <w:t>序号</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300" w:firstLineChars="100"/>
              <w:jc w:val="center"/>
              <w:textAlignment w:val="center"/>
              <w:rPr>
                <w:rFonts w:hint="eastAsia" w:ascii="宋体" w:hAnsi="宋体" w:eastAsia="黑体" w:cs="黑体"/>
                <w:b w:val="0"/>
                <w:bCs w:val="0"/>
                <w:i w:val="0"/>
                <w:iCs w:val="0"/>
                <w:color w:val="auto"/>
                <w:kern w:val="0"/>
                <w:sz w:val="30"/>
                <w:szCs w:val="30"/>
                <w:u w:val="none"/>
                <w:lang w:val="en-US" w:eastAsia="zh-CN" w:bidi="ar"/>
              </w:rPr>
            </w:pPr>
            <w:r>
              <w:rPr>
                <w:rFonts w:hint="eastAsia" w:ascii="宋体" w:hAnsi="宋体" w:eastAsia="黑体" w:cs="黑体"/>
                <w:b w:val="0"/>
                <w:bCs w:val="0"/>
                <w:i w:val="0"/>
                <w:iCs w:val="0"/>
                <w:color w:val="auto"/>
                <w:kern w:val="0"/>
                <w:sz w:val="30"/>
                <w:szCs w:val="30"/>
                <w:u w:val="none"/>
                <w:lang w:val="en-US" w:eastAsia="zh-CN" w:bidi="ar"/>
              </w:rPr>
              <w:t>拟新建</w:t>
            </w:r>
          </w:p>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300" w:firstLineChars="100"/>
              <w:jc w:val="center"/>
              <w:textAlignment w:val="center"/>
              <w:rPr>
                <w:rFonts w:hint="eastAsia" w:ascii="宋体" w:hAnsi="宋体" w:eastAsia="黑体" w:cs="黑体"/>
                <w:b w:val="0"/>
                <w:bCs w:val="0"/>
                <w:i w:val="0"/>
                <w:iCs w:val="0"/>
                <w:color w:val="auto"/>
                <w:sz w:val="30"/>
                <w:szCs w:val="30"/>
                <w:u w:val="none"/>
              </w:rPr>
            </w:pPr>
            <w:r>
              <w:rPr>
                <w:rFonts w:hint="eastAsia" w:ascii="宋体" w:hAnsi="宋体" w:eastAsia="黑体" w:cs="黑体"/>
                <w:b w:val="0"/>
                <w:bCs w:val="0"/>
                <w:i w:val="0"/>
                <w:iCs w:val="0"/>
                <w:color w:val="auto"/>
                <w:kern w:val="0"/>
                <w:sz w:val="30"/>
                <w:szCs w:val="30"/>
                <w:u w:val="none"/>
                <w:lang w:val="en-US" w:eastAsia="zh-CN" w:bidi="ar"/>
              </w:rPr>
              <w:t>加油站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300" w:firstLineChars="100"/>
              <w:jc w:val="center"/>
              <w:textAlignment w:val="center"/>
              <w:rPr>
                <w:rFonts w:hint="eastAsia" w:ascii="宋体" w:hAnsi="宋体" w:eastAsia="黑体" w:cs="黑体"/>
                <w:b w:val="0"/>
                <w:bCs w:val="0"/>
                <w:i w:val="0"/>
                <w:iCs w:val="0"/>
                <w:color w:val="auto"/>
                <w:sz w:val="30"/>
                <w:szCs w:val="30"/>
                <w:u w:val="none"/>
              </w:rPr>
            </w:pPr>
            <w:r>
              <w:rPr>
                <w:rFonts w:hint="eastAsia" w:ascii="宋体" w:hAnsi="宋体" w:eastAsia="黑体" w:cs="黑体"/>
                <w:b w:val="0"/>
                <w:bCs w:val="0"/>
                <w:i w:val="0"/>
                <w:iCs w:val="0"/>
                <w:color w:val="auto"/>
                <w:kern w:val="0"/>
                <w:sz w:val="30"/>
                <w:szCs w:val="30"/>
                <w:u w:val="none"/>
                <w:lang w:val="en-US" w:eastAsia="zh-CN" w:bidi="ar"/>
              </w:rPr>
              <w:t>规划地点</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0" w:firstLineChars="0"/>
              <w:jc w:val="center"/>
              <w:textAlignment w:val="center"/>
              <w:rPr>
                <w:rFonts w:hint="eastAsia" w:ascii="宋体" w:hAnsi="宋体" w:eastAsia="黑体" w:cs="黑体"/>
                <w:b w:val="0"/>
                <w:bCs w:val="0"/>
                <w:i w:val="0"/>
                <w:iCs w:val="0"/>
                <w:color w:val="auto"/>
                <w:sz w:val="30"/>
                <w:szCs w:val="30"/>
                <w:u w:val="none"/>
              </w:rPr>
            </w:pPr>
            <w:r>
              <w:rPr>
                <w:rFonts w:hint="eastAsia" w:ascii="宋体" w:hAnsi="宋体" w:eastAsia="黑体" w:cs="黑体"/>
                <w:b w:val="0"/>
                <w:bCs w:val="0"/>
                <w:i w:val="0"/>
                <w:iCs w:val="0"/>
                <w:color w:val="auto"/>
                <w:kern w:val="0"/>
                <w:sz w:val="30"/>
                <w:szCs w:val="30"/>
                <w:u w:val="none"/>
                <w:lang w:val="en-US" w:eastAsia="zh-CN" w:bidi="ar"/>
              </w:rPr>
              <w:t>位置分类</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0" w:firstLineChars="0"/>
              <w:jc w:val="center"/>
              <w:textAlignment w:val="center"/>
              <w:rPr>
                <w:rFonts w:hint="eastAsia" w:ascii="宋体" w:hAnsi="宋体" w:eastAsia="黑体" w:cs="黑体"/>
                <w:b w:val="0"/>
                <w:bCs w:val="0"/>
                <w:i w:val="0"/>
                <w:iCs w:val="0"/>
                <w:color w:val="auto"/>
                <w:kern w:val="0"/>
                <w:sz w:val="30"/>
                <w:szCs w:val="30"/>
                <w:u w:val="none"/>
                <w:lang w:val="en-US" w:eastAsia="zh-CN" w:bidi="ar"/>
              </w:rPr>
            </w:pPr>
            <w:r>
              <w:rPr>
                <w:rFonts w:hint="eastAsia" w:ascii="宋体" w:hAnsi="宋体" w:eastAsia="黑体" w:cs="黑体"/>
                <w:b w:val="0"/>
                <w:bCs w:val="0"/>
                <w:i w:val="0"/>
                <w:iCs w:val="0"/>
                <w:color w:val="auto"/>
                <w:kern w:val="0"/>
                <w:sz w:val="30"/>
                <w:szCs w:val="30"/>
                <w:u w:val="none"/>
                <w:lang w:val="en-US" w:eastAsia="zh-CN" w:bidi="ar"/>
              </w:rPr>
              <w:t>规划</w:t>
            </w:r>
          </w:p>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0" w:firstLineChars="0"/>
              <w:jc w:val="center"/>
              <w:textAlignment w:val="center"/>
              <w:rPr>
                <w:rFonts w:hint="eastAsia" w:ascii="宋体" w:hAnsi="宋体" w:eastAsia="黑体" w:cs="黑体"/>
                <w:b w:val="0"/>
                <w:bCs w:val="0"/>
                <w:i w:val="0"/>
                <w:iCs w:val="0"/>
                <w:color w:val="auto"/>
                <w:sz w:val="30"/>
                <w:szCs w:val="30"/>
                <w:u w:val="none"/>
              </w:rPr>
            </w:pPr>
            <w:r>
              <w:rPr>
                <w:rFonts w:hint="eastAsia" w:ascii="宋体" w:hAnsi="宋体" w:eastAsia="黑体" w:cs="黑体"/>
                <w:b w:val="0"/>
                <w:bCs w:val="0"/>
                <w:i w:val="0"/>
                <w:iCs w:val="0"/>
                <w:color w:val="auto"/>
                <w:kern w:val="0"/>
                <w:sz w:val="30"/>
                <w:szCs w:val="30"/>
                <w:u w:val="none"/>
                <w:lang w:val="en-US" w:eastAsia="zh-CN" w:bidi="ar"/>
              </w:rPr>
              <w:t>数量</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0" w:firstLineChars="0"/>
              <w:jc w:val="center"/>
              <w:textAlignment w:val="center"/>
              <w:rPr>
                <w:rFonts w:hint="eastAsia" w:ascii="宋体" w:hAnsi="宋体" w:eastAsia="黑体" w:cs="黑体"/>
                <w:b w:val="0"/>
                <w:bCs w:val="0"/>
                <w:i w:val="0"/>
                <w:iCs w:val="0"/>
                <w:color w:val="auto"/>
                <w:kern w:val="0"/>
                <w:sz w:val="30"/>
                <w:szCs w:val="30"/>
                <w:u w:val="none"/>
                <w:lang w:val="en-US" w:eastAsia="zh-CN" w:bidi="ar"/>
              </w:rPr>
            </w:pPr>
            <w:r>
              <w:rPr>
                <w:rFonts w:hint="eastAsia" w:ascii="宋体" w:hAnsi="宋体" w:eastAsia="黑体" w:cs="黑体"/>
                <w:b w:val="0"/>
                <w:bCs w:val="0"/>
                <w:i w:val="0"/>
                <w:iCs w:val="0"/>
                <w:color w:val="auto"/>
                <w:kern w:val="0"/>
                <w:sz w:val="30"/>
                <w:szCs w:val="30"/>
                <w:u w:val="none"/>
                <w:lang w:val="en-US" w:eastAsia="zh-CN" w:bidi="ar"/>
              </w:rPr>
              <w:t>建设</w:t>
            </w:r>
          </w:p>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0" w:firstLineChars="0"/>
              <w:jc w:val="center"/>
              <w:textAlignment w:val="center"/>
              <w:rPr>
                <w:rFonts w:hint="eastAsia" w:ascii="宋体" w:hAnsi="宋体" w:eastAsia="黑体" w:cs="黑体"/>
                <w:b w:val="0"/>
                <w:bCs w:val="0"/>
                <w:i w:val="0"/>
                <w:iCs w:val="0"/>
                <w:color w:val="auto"/>
                <w:sz w:val="30"/>
                <w:szCs w:val="30"/>
                <w:u w:val="none"/>
              </w:rPr>
            </w:pPr>
            <w:r>
              <w:rPr>
                <w:rFonts w:hint="eastAsia" w:ascii="宋体" w:hAnsi="宋体" w:eastAsia="黑体" w:cs="黑体"/>
                <w:b w:val="0"/>
                <w:bCs w:val="0"/>
                <w:i w:val="0"/>
                <w:iCs w:val="0"/>
                <w:color w:val="auto"/>
                <w:kern w:val="0"/>
                <w:sz w:val="30"/>
                <w:szCs w:val="30"/>
                <w:u w:val="none"/>
                <w:lang w:val="en-US" w:eastAsia="zh-CN" w:bidi="ar"/>
              </w:rPr>
              <w:t>性质</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0" w:firstLineChars="0"/>
              <w:jc w:val="center"/>
              <w:textAlignment w:val="center"/>
              <w:rPr>
                <w:rFonts w:hint="eastAsia" w:ascii="宋体" w:hAnsi="宋体" w:eastAsia="黑体" w:cs="黑体"/>
                <w:b w:val="0"/>
                <w:bCs w:val="0"/>
                <w:i w:val="0"/>
                <w:iCs w:val="0"/>
                <w:color w:val="auto"/>
                <w:sz w:val="30"/>
                <w:szCs w:val="30"/>
                <w:u w:val="none"/>
              </w:rPr>
            </w:pPr>
            <w:r>
              <w:rPr>
                <w:rFonts w:hint="eastAsia" w:ascii="宋体" w:hAnsi="宋体" w:eastAsia="黑体" w:cs="黑体"/>
                <w:b w:val="0"/>
                <w:bCs w:val="0"/>
                <w:i w:val="0"/>
                <w:iCs w:val="0"/>
                <w:color w:val="auto"/>
                <w:kern w:val="0"/>
                <w:sz w:val="30"/>
                <w:szCs w:val="3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1</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31团加油站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第二师31团</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城镇、国道、高速</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4</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仿宋" w:cs="仿宋"/>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2</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33团加油站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第二师33团</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城镇、高速</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2</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仿宋" w:cs="仿宋"/>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3</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34团加油站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第二师34团</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城镇、国道、高速</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5</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仿宋" w:cs="仿宋"/>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4</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36团加油站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第二师36</w:t>
            </w:r>
            <w:r>
              <w:rPr>
                <w:rStyle w:val="35"/>
                <w:rFonts w:hint="eastAsia" w:ascii="宋体" w:hAnsi="宋体" w:eastAsia="方正仿宋简体" w:cs="方正仿宋简体"/>
                <w:b w:val="0"/>
                <w:bCs w:val="0"/>
                <w:color w:val="auto"/>
                <w:sz w:val="24"/>
                <w:szCs w:val="24"/>
                <w:lang w:val="en-US" w:eastAsia="zh-CN" w:bidi="ar"/>
              </w:rPr>
              <w:t>团</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城镇、国道</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5</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5</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38</w:t>
            </w:r>
            <w:r>
              <w:rPr>
                <w:rStyle w:val="34"/>
                <w:rFonts w:hint="eastAsia" w:ascii="宋体" w:hAnsi="宋体" w:eastAsia="方正仿宋简体" w:cs="方正仿宋简体"/>
                <w:b w:val="0"/>
                <w:bCs w:val="0"/>
                <w:color w:val="auto"/>
                <w:sz w:val="24"/>
                <w:szCs w:val="24"/>
                <w:lang w:val="en-US" w:eastAsia="zh-CN" w:bidi="ar"/>
              </w:rPr>
              <w:t>团国道站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第二师38</w:t>
            </w:r>
            <w:r>
              <w:rPr>
                <w:rStyle w:val="34"/>
                <w:rFonts w:hint="eastAsia" w:ascii="宋体" w:hAnsi="宋体" w:eastAsia="方正仿宋简体" w:cs="方正仿宋简体"/>
                <w:b w:val="0"/>
                <w:bCs w:val="0"/>
                <w:color w:val="auto"/>
                <w:sz w:val="24"/>
                <w:szCs w:val="24"/>
                <w:lang w:val="en-US" w:eastAsia="zh-CN" w:bidi="ar"/>
              </w:rPr>
              <w:t>团</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国道</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2</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6</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铁门关</w:t>
            </w:r>
            <w:r>
              <w:rPr>
                <w:rStyle w:val="34"/>
                <w:rFonts w:hint="eastAsia" w:ascii="宋体" w:hAnsi="宋体" w:eastAsia="方正仿宋简体" w:cs="方正仿宋简体"/>
                <w:b w:val="0"/>
                <w:bCs w:val="0"/>
                <w:color w:val="auto"/>
                <w:sz w:val="24"/>
                <w:szCs w:val="24"/>
                <w:lang w:val="en-US" w:eastAsia="zh-CN" w:bidi="ar"/>
              </w:rPr>
              <w:t>加油</w:t>
            </w:r>
            <w:r>
              <w:rPr>
                <w:rStyle w:val="36"/>
                <w:rFonts w:hint="eastAsia" w:ascii="宋体" w:hAnsi="宋体" w:eastAsia="方正仿宋简体" w:cs="方正仿宋简体"/>
                <w:b w:val="0"/>
                <w:bCs w:val="0"/>
                <w:color w:val="auto"/>
                <w:sz w:val="24"/>
                <w:szCs w:val="24"/>
                <w:lang w:val="en-US" w:eastAsia="zh-CN" w:bidi="ar"/>
              </w:rPr>
              <w:t>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铁门关市域</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城市</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tabs>
                <w:tab w:val="center" w:pos="323"/>
              </w:tabs>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7</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7</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Style w:val="34"/>
                <w:rFonts w:hint="eastAsia" w:ascii="宋体" w:hAnsi="宋体" w:eastAsia="方正仿宋简体" w:cs="方正仿宋简体"/>
                <w:b w:val="0"/>
                <w:bCs w:val="0"/>
                <w:color w:val="auto"/>
                <w:sz w:val="24"/>
                <w:szCs w:val="24"/>
                <w:lang w:val="en-US" w:eastAsia="zh-CN" w:bidi="ar"/>
              </w:rPr>
              <w:t>29团</w:t>
            </w:r>
            <w:r>
              <w:rPr>
                <w:rStyle w:val="36"/>
                <w:rFonts w:hint="eastAsia" w:ascii="宋体" w:hAnsi="宋体" w:eastAsia="方正仿宋简体" w:cs="方正仿宋简体"/>
                <w:b w:val="0"/>
                <w:bCs w:val="0"/>
                <w:color w:val="auto"/>
                <w:sz w:val="24"/>
                <w:szCs w:val="24"/>
                <w:lang w:val="en-US" w:eastAsia="zh-CN" w:bidi="ar"/>
              </w:rPr>
              <w:t>加油站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center"/>
              <w:textAlignment w:val="center"/>
              <w:rPr>
                <w:rFonts w:hint="default" w:ascii="宋体" w:hAnsi="宋体" w:eastAsia="方正仿宋简体" w:cs="方正仿宋简体"/>
                <w:b w:val="0"/>
                <w:bCs w:val="0"/>
                <w:i w:val="0"/>
                <w:iCs w:val="0"/>
                <w:color w:val="auto"/>
                <w:sz w:val="24"/>
                <w:szCs w:val="24"/>
                <w:u w:val="none"/>
                <w:lang w:val="en-US"/>
              </w:rPr>
            </w:pPr>
            <w:r>
              <w:rPr>
                <w:rStyle w:val="34"/>
                <w:rFonts w:hint="eastAsia" w:ascii="宋体" w:hAnsi="宋体" w:eastAsia="方正仿宋简体" w:cs="方正仿宋简体"/>
                <w:b w:val="0"/>
                <w:bCs w:val="0"/>
                <w:color w:val="auto"/>
                <w:sz w:val="24"/>
                <w:szCs w:val="24"/>
                <w:lang w:val="en-US" w:eastAsia="zh-CN" w:bidi="ar"/>
              </w:rPr>
              <w:t>第二师29团</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城镇</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4</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8</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产业园加油站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第二师兵地共建产业园</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城镇</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2</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9</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29</w:t>
            </w:r>
            <w:r>
              <w:rPr>
                <w:rStyle w:val="36"/>
                <w:rFonts w:hint="eastAsia" w:ascii="宋体" w:hAnsi="宋体" w:eastAsia="方正仿宋简体" w:cs="方正仿宋简体"/>
                <w:b w:val="0"/>
                <w:bCs w:val="0"/>
                <w:color w:val="auto"/>
                <w:sz w:val="24"/>
                <w:szCs w:val="24"/>
                <w:lang w:val="en-US" w:eastAsia="zh-CN" w:bidi="ar"/>
              </w:rPr>
              <w:t>团加油站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第二师2</w:t>
            </w:r>
            <w:r>
              <w:rPr>
                <w:rStyle w:val="34"/>
                <w:rFonts w:hint="eastAsia" w:ascii="宋体" w:hAnsi="宋体" w:eastAsia="方正仿宋简体" w:cs="方正仿宋简体"/>
                <w:b w:val="0"/>
                <w:bCs w:val="0"/>
                <w:color w:val="auto"/>
                <w:sz w:val="24"/>
                <w:szCs w:val="24"/>
                <w:lang w:val="en-US" w:eastAsia="zh-CN" w:bidi="ar"/>
              </w:rPr>
              <w:t>9</w:t>
            </w:r>
            <w:r>
              <w:rPr>
                <w:rStyle w:val="36"/>
                <w:rFonts w:hint="eastAsia" w:ascii="宋体" w:hAnsi="宋体" w:eastAsia="方正仿宋简体" w:cs="方正仿宋简体"/>
                <w:b w:val="0"/>
                <w:bCs w:val="0"/>
                <w:color w:val="auto"/>
                <w:sz w:val="24"/>
                <w:szCs w:val="24"/>
                <w:lang w:val="en-US" w:eastAsia="zh-CN" w:bidi="ar"/>
              </w:rPr>
              <w:t>团</w:t>
            </w:r>
            <w:r>
              <w:rPr>
                <w:rStyle w:val="34"/>
                <w:rFonts w:hint="eastAsia" w:ascii="宋体" w:hAnsi="宋体" w:eastAsia="方正仿宋简体" w:cs="方正仿宋简体"/>
                <w:b w:val="0"/>
                <w:bCs w:val="0"/>
                <w:color w:val="auto"/>
                <w:sz w:val="24"/>
                <w:szCs w:val="24"/>
                <w:lang w:val="en-US" w:eastAsia="zh-CN" w:bidi="ar"/>
              </w:rPr>
              <w:t>老团部</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城镇</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迁址</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left"/>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新建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10</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33</w:t>
            </w:r>
            <w:r>
              <w:rPr>
                <w:rStyle w:val="34"/>
                <w:rFonts w:hint="eastAsia" w:ascii="宋体" w:hAnsi="宋体" w:eastAsia="方正仿宋简体" w:cs="方正仿宋简体"/>
                <w:b w:val="0"/>
                <w:bCs w:val="0"/>
                <w:color w:val="auto"/>
                <w:sz w:val="24"/>
                <w:szCs w:val="24"/>
                <w:lang w:val="en-US" w:eastAsia="zh-CN" w:bidi="ar"/>
              </w:rPr>
              <w:t>团加油加气站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第二师33</w:t>
            </w:r>
            <w:r>
              <w:rPr>
                <w:rStyle w:val="34"/>
                <w:rFonts w:hint="eastAsia" w:ascii="宋体" w:hAnsi="宋体" w:eastAsia="方正仿宋简体" w:cs="方正仿宋简体"/>
                <w:b w:val="0"/>
                <w:bCs w:val="0"/>
                <w:color w:val="auto"/>
                <w:sz w:val="24"/>
                <w:szCs w:val="24"/>
                <w:lang w:val="en-US" w:eastAsia="zh-CN" w:bidi="ar"/>
              </w:rPr>
              <w:t>团</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国道</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原址</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改扩建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11</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223</w:t>
            </w:r>
            <w:r>
              <w:rPr>
                <w:rStyle w:val="34"/>
                <w:rFonts w:hint="eastAsia" w:ascii="宋体" w:hAnsi="宋体" w:eastAsia="方正仿宋简体" w:cs="方正仿宋简体"/>
                <w:b w:val="0"/>
                <w:bCs w:val="0"/>
                <w:color w:val="auto"/>
                <w:sz w:val="24"/>
                <w:szCs w:val="24"/>
                <w:lang w:val="en-US" w:eastAsia="zh-CN" w:bidi="ar"/>
              </w:rPr>
              <w:t>团加油加气站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第二师223</w:t>
            </w:r>
            <w:r>
              <w:rPr>
                <w:rStyle w:val="34"/>
                <w:rFonts w:hint="eastAsia" w:ascii="宋体" w:hAnsi="宋体" w:eastAsia="方正仿宋简体" w:cs="方正仿宋简体"/>
                <w:b w:val="0"/>
                <w:bCs w:val="0"/>
                <w:color w:val="auto"/>
                <w:sz w:val="24"/>
                <w:szCs w:val="24"/>
                <w:lang w:val="en-US" w:eastAsia="zh-CN" w:bidi="ar"/>
              </w:rPr>
              <w:t>团</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城镇</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原址</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方正仿宋简体" w:cs="方正仿宋简体"/>
                <w:b w:val="0"/>
                <w:bCs w:val="0"/>
                <w:i w:val="0"/>
                <w:iCs w:val="0"/>
                <w:color w:val="auto"/>
                <w:sz w:val="24"/>
                <w:szCs w:val="24"/>
                <w:u w:val="none"/>
              </w:rPr>
            </w:pPr>
            <w:r>
              <w:rPr>
                <w:rStyle w:val="36"/>
                <w:rFonts w:hint="eastAsia" w:ascii="宋体" w:hAnsi="宋体" w:eastAsia="方正仿宋简体" w:cs="方正仿宋简体"/>
                <w:b w:val="0"/>
                <w:bCs w:val="0"/>
                <w:color w:val="auto"/>
                <w:sz w:val="24"/>
                <w:szCs w:val="24"/>
                <w:lang w:val="en-US" w:eastAsia="zh-CN" w:bidi="ar"/>
              </w:rPr>
              <w:t>改扩建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12</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卡拉</w:t>
            </w:r>
            <w:r>
              <w:rPr>
                <w:rStyle w:val="36"/>
                <w:rFonts w:hint="eastAsia" w:ascii="宋体" w:hAnsi="宋体" w:eastAsia="方正仿宋简体" w:cs="方正仿宋简体"/>
                <w:b w:val="0"/>
                <w:bCs w:val="0"/>
                <w:color w:val="auto"/>
                <w:sz w:val="24"/>
                <w:szCs w:val="24"/>
                <w:lang w:val="en-US" w:eastAsia="zh-CN" w:bidi="ar"/>
              </w:rPr>
              <w:t>加油加气站</w:t>
            </w:r>
          </w:p>
        </w:tc>
        <w:tc>
          <w:tcPr>
            <w:tcW w:w="1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第二师</w:t>
            </w:r>
            <w:r>
              <w:rPr>
                <w:rStyle w:val="36"/>
                <w:rFonts w:hint="eastAsia" w:ascii="宋体" w:hAnsi="宋体" w:eastAsia="方正仿宋简体" w:cs="方正仿宋简体"/>
                <w:b w:val="0"/>
                <w:bCs w:val="0"/>
                <w:color w:val="auto"/>
                <w:sz w:val="24"/>
                <w:szCs w:val="24"/>
                <w:lang w:val="en-US" w:eastAsia="zh-CN" w:bidi="ar"/>
              </w:rPr>
              <w:t>31</w:t>
            </w:r>
            <w:r>
              <w:rPr>
                <w:rStyle w:val="34"/>
                <w:rFonts w:hint="eastAsia" w:ascii="宋体" w:hAnsi="宋体" w:eastAsia="方正仿宋简体" w:cs="方正仿宋简体"/>
                <w:b w:val="0"/>
                <w:bCs w:val="0"/>
                <w:color w:val="auto"/>
                <w:sz w:val="24"/>
                <w:szCs w:val="24"/>
                <w:lang w:val="en-US" w:eastAsia="zh-CN" w:bidi="ar"/>
              </w:rPr>
              <w:t>团卡拉水库</w:t>
            </w:r>
          </w:p>
        </w:tc>
        <w:tc>
          <w:tcPr>
            <w:tcW w:w="14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国道</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240" w:firstLineChars="100"/>
              <w:jc w:val="both"/>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方正仿宋简体" w:cs="方正仿宋简体"/>
                <w:b w:val="0"/>
                <w:bCs w:val="0"/>
                <w:i w:val="0"/>
                <w:iCs w:val="0"/>
                <w:color w:val="auto"/>
                <w:kern w:val="0"/>
                <w:sz w:val="24"/>
                <w:szCs w:val="24"/>
                <w:u w:val="none"/>
                <w:lang w:val="en-US" w:eastAsia="zh-CN" w:bidi="ar"/>
              </w:rPr>
            </w:pPr>
            <w:r>
              <w:rPr>
                <w:rFonts w:hint="eastAsia" w:ascii="宋体" w:hAnsi="宋体" w:eastAsia="方正仿宋简体" w:cs="方正仿宋简体"/>
                <w:b w:val="0"/>
                <w:bCs w:val="0"/>
                <w:i w:val="0"/>
                <w:iCs w:val="0"/>
                <w:color w:val="auto"/>
                <w:kern w:val="0"/>
                <w:sz w:val="24"/>
                <w:szCs w:val="24"/>
                <w:u w:val="none"/>
                <w:lang w:val="en-US" w:eastAsia="zh-CN" w:bidi="ar"/>
              </w:rPr>
              <w:t>原址</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方正仿宋简体" w:cs="方正仿宋简体"/>
                <w:b w:val="0"/>
                <w:bCs w:val="0"/>
                <w:i w:val="0"/>
                <w:iCs w:val="0"/>
                <w:color w:val="auto"/>
                <w:sz w:val="24"/>
                <w:szCs w:val="24"/>
                <w:u w:val="none"/>
              </w:rPr>
            </w:pPr>
            <w:r>
              <w:rPr>
                <w:rStyle w:val="36"/>
                <w:rFonts w:hint="eastAsia" w:ascii="宋体" w:hAnsi="宋体" w:eastAsia="方正仿宋简体" w:cs="方正仿宋简体"/>
                <w:b w:val="0"/>
                <w:bCs w:val="0"/>
                <w:color w:val="auto"/>
                <w:sz w:val="24"/>
                <w:szCs w:val="24"/>
                <w:lang w:val="en-US" w:eastAsia="zh-CN" w:bidi="ar"/>
              </w:rPr>
              <w:t>改扩建</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仿宋" w:cs="仿宋"/>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方正仿宋简体" w:cs="方正仿宋简体"/>
                <w:b w:val="0"/>
                <w:bCs w:val="0"/>
                <w:i w:val="0"/>
                <w:iCs w:val="0"/>
                <w:color w:val="auto"/>
                <w:sz w:val="24"/>
                <w:szCs w:val="24"/>
                <w:u w:val="none"/>
              </w:rPr>
            </w:pPr>
          </w:p>
        </w:tc>
        <w:tc>
          <w:tcPr>
            <w:tcW w:w="34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方正仿宋简体" w:cs="方正仿宋简体"/>
                <w:b w:val="0"/>
                <w:bCs w:val="0"/>
                <w:i w:val="0"/>
                <w:iCs w:val="0"/>
                <w:color w:val="auto"/>
                <w:sz w:val="24"/>
                <w:szCs w:val="24"/>
                <w:u w:val="none"/>
              </w:rPr>
            </w:pPr>
            <w:r>
              <w:rPr>
                <w:rFonts w:hint="eastAsia" w:ascii="宋体" w:hAnsi="宋体" w:eastAsia="方正仿宋简体" w:cs="方正仿宋简体"/>
                <w:b w:val="0"/>
                <w:bCs w:val="0"/>
                <w:i w:val="0"/>
                <w:iCs w:val="0"/>
                <w:color w:val="auto"/>
                <w:kern w:val="0"/>
                <w:sz w:val="24"/>
                <w:szCs w:val="24"/>
                <w:u w:val="none"/>
                <w:lang w:val="en-US" w:eastAsia="zh-CN" w:bidi="ar"/>
              </w:rPr>
              <w:t>合   计</w:t>
            </w:r>
          </w:p>
        </w:tc>
        <w:tc>
          <w:tcPr>
            <w:tcW w:w="14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方正仿宋简体" w:cs="方正仿宋简体"/>
                <w:b w:val="0"/>
                <w:bCs w:val="0"/>
                <w:i w:val="0"/>
                <w:iCs w:val="0"/>
                <w:color w:val="auto"/>
                <w:sz w:val="24"/>
                <w:szCs w:val="24"/>
                <w:u w:val="none"/>
              </w:rPr>
            </w:pP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ind w:left="0" w:leftChars="0" w:firstLine="240" w:firstLineChars="100"/>
              <w:jc w:val="both"/>
              <w:textAlignment w:val="center"/>
              <w:rPr>
                <w:rFonts w:hint="default" w:ascii="宋体" w:hAnsi="宋体" w:eastAsia="方正仿宋简体" w:cs="方正仿宋简体"/>
                <w:b w:val="0"/>
                <w:bCs w:val="0"/>
                <w:i w:val="0"/>
                <w:iCs w:val="0"/>
                <w:color w:val="auto"/>
                <w:sz w:val="24"/>
                <w:szCs w:val="24"/>
                <w:u w:val="none"/>
                <w:lang w:val="en-US"/>
              </w:rPr>
            </w:pPr>
            <w:r>
              <w:rPr>
                <w:rFonts w:hint="eastAsia" w:ascii="宋体" w:hAnsi="宋体" w:eastAsia="方正仿宋简体" w:cs="方正仿宋简体"/>
                <w:b w:val="0"/>
                <w:bCs w:val="0"/>
                <w:i w:val="0"/>
                <w:iCs w:val="0"/>
                <w:color w:val="auto"/>
                <w:kern w:val="0"/>
                <w:sz w:val="24"/>
                <w:szCs w:val="24"/>
                <w:u w:val="none"/>
                <w:lang w:val="en-US" w:eastAsia="zh-CN" w:bidi="ar"/>
              </w:rPr>
              <w:t>35</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方正仿宋简体" w:cs="方正仿宋简体"/>
                <w:b w:val="0"/>
                <w:bCs w:val="0"/>
                <w:i w:val="0"/>
                <w:iCs w:val="0"/>
                <w:color w:val="auto"/>
                <w:sz w:val="24"/>
                <w:szCs w:val="24"/>
                <w:u w:val="none"/>
              </w:rPr>
            </w:pPr>
          </w:p>
        </w:tc>
        <w:tc>
          <w:tcPr>
            <w:tcW w:w="8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仿宋" w:cs="仿宋"/>
                <w:i w:val="0"/>
                <w:iCs w:val="0"/>
                <w:color w:val="auto"/>
                <w:sz w:val="24"/>
                <w:szCs w:val="24"/>
                <w:u w:val="none"/>
              </w:rPr>
            </w:pPr>
          </w:p>
        </w:tc>
      </w:tr>
    </w:tbl>
    <w:p>
      <w:pPr>
        <w:pStyle w:val="2"/>
        <w:ind w:left="0" w:leftChars="0" w:firstLine="0" w:firstLineChars="0"/>
        <w:rPr>
          <w:rFonts w:hint="eastAsia" w:ascii="宋体" w:hAnsi="宋体" w:eastAsia="仿宋" w:cs="仿宋"/>
          <w:color w:val="auto"/>
          <w:sz w:val="21"/>
          <w:szCs w:val="21"/>
          <w:lang w:val="en-US" w:eastAsia="zh-CN"/>
        </w:rPr>
      </w:pPr>
    </w:p>
    <w:p>
      <w:pPr>
        <w:pStyle w:val="2"/>
        <w:ind w:left="0" w:leftChars="0" w:firstLine="0" w:firstLineChars="0"/>
        <w:rPr>
          <w:rFonts w:hint="eastAsia" w:ascii="宋体" w:hAnsi="宋体" w:eastAsia="仿宋" w:cs="仿宋"/>
          <w:color w:val="auto"/>
          <w:sz w:val="21"/>
          <w:szCs w:val="21"/>
          <w:lang w:val="en-US" w:eastAsia="zh-CN"/>
        </w:rPr>
      </w:pP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23" w:name="_Toc8322"/>
      <w:r>
        <w:rPr>
          <w:rFonts w:hint="eastAsia" w:ascii="宋体" w:hAnsi="宋体" w:cs="Times New Roman"/>
          <w:b w:val="0"/>
          <w:bCs w:val="0"/>
          <w:color w:val="auto"/>
          <w:highlight w:val="none"/>
          <w:lang w:val="en-US" w:eastAsia="zh-CN"/>
        </w:rPr>
        <w:t xml:space="preserve">第六节 </w:t>
      </w:r>
      <w:r>
        <w:rPr>
          <w:rFonts w:hint="default" w:ascii="宋体" w:hAnsi="宋体" w:cs="Times New Roman"/>
          <w:b w:val="0"/>
          <w:bCs w:val="0"/>
          <w:color w:val="auto"/>
          <w:highlight w:val="none"/>
          <w:lang w:val="en-US" w:eastAsia="zh-CN"/>
        </w:rPr>
        <w:t>探索智慧型油站建设</w:t>
      </w:r>
      <w:bookmarkEnd w:id="23"/>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随着互联网大数据等新兴产业的发展，越来越多的成品油企业开始推进“智慧加油站”，搭建线上线下营销平台，深化油非经营融合，通过互联网信息技术，实施“加油站+互联网+N”，全力推进加油站的智能改造升级，全面打造“人·车·生活”综合服务驿站。形成加油站单一平台营销向立体化维度营销转变、从传统业务型向服务体验型转变、从线下实体门店向O2O多业态融合发展转变。</w:t>
      </w:r>
    </w:p>
    <w:p>
      <w:pPr>
        <w:pageBreakBefore w:val="0"/>
        <w:widowControl w:val="0"/>
        <w:kinsoku/>
        <w:wordWrap/>
        <w:overflowPunct/>
        <w:topLinePunct w:val="0"/>
        <w:autoSpaceDE/>
        <w:autoSpaceDN/>
        <w:bidi w:val="0"/>
        <w:adjustRightInd/>
        <w:snapToGrid/>
        <w:textAlignment w:val="auto"/>
        <w:rPr>
          <w:rFonts w:hint="eastAsia" w:ascii="宋体" w:hAnsi="宋体" w:eastAsia="楷体_GB2312" w:cs="楷体_GB2312"/>
          <w:color w:val="auto"/>
          <w:highlight w:val="none"/>
          <w:lang w:val="en-US" w:eastAsia="zh-CN"/>
        </w:rPr>
      </w:pPr>
      <w:r>
        <w:rPr>
          <w:rFonts w:hint="eastAsia" w:ascii="宋体" w:hAnsi="宋体" w:eastAsia="楷体_GB2312" w:cs="楷体_GB2312"/>
          <w:color w:val="auto"/>
          <w:highlight w:val="none"/>
          <w:lang w:val="en-US" w:eastAsia="zh-CN"/>
        </w:rPr>
        <w:t>一、“传统加油站”向“智慧加油站”升级</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（一）升级加油站系统</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加油站系统全面升级，实现全闭环控制，前后端分离的设计模式，可零中断完成系统升级和维护；健全完善进销存管理系统，提升管理效率；使用云端服务平台，支持多种支付方式，贴近客户需求。</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加油站的设备数据、业务数据最终汇流到云端。加油站的经营者可以任意借助终端设备对这些数据进行查询备份和挖掘利用。</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（二）智慧加油站的主要特征</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lang w:val="en-US" w:eastAsia="zh-CN"/>
        </w:rPr>
        <w:t>1.</w:t>
      </w:r>
      <w:r>
        <w:rPr>
          <w:rFonts w:hint="eastAsia" w:ascii="宋体" w:hAnsi="宋体" w:eastAsia="方正仿宋简体" w:cs="方正仿宋简体"/>
          <w:color w:val="auto"/>
          <w:highlight w:val="none"/>
        </w:rPr>
        <w:t>坚持</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客户中心化</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理念</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rPr>
        <w:t>以客户为中心，运用信息技术手段，精准客户画像，提供更加定制化、专业化的产品和服务。智慧加油站通过移动端、识别系统等应用，统计分析客户在加油站的消费行为及数据信息，通过内外部信息的集成、整合后，为客户提供高于期望值的产品或服务。</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lang w:val="en-US" w:eastAsia="zh-CN"/>
        </w:rPr>
        <w:t>2.</w:t>
      </w:r>
      <w:r>
        <w:rPr>
          <w:rFonts w:hint="eastAsia" w:ascii="宋体" w:hAnsi="宋体" w:eastAsia="方正仿宋简体" w:cs="方正仿宋简体"/>
          <w:color w:val="auto"/>
          <w:highlight w:val="none"/>
        </w:rPr>
        <w:t>坚持</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运营平台化</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战略</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rPr>
        <w:t>连接用户、商家、合作伙伴等特定群体，构建集移动支付、智慧应用、新零售场景为一体的服务</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生态圈</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智慧加油站通过加油卡和POS机采集加油量、加油频率以及非油品销售金额、品类等信息，以及车牌识别采集数据信息，将车牌数据与油品和非油品数据建立关联，发挥汽服、餐饮、保险、缴费等跨界效应，实现多种产品和服务的平台化、数字化运营发展。</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lang w:val="en-US" w:eastAsia="zh-CN"/>
        </w:rPr>
        <w:t>3.</w:t>
      </w:r>
      <w:r>
        <w:rPr>
          <w:rFonts w:hint="eastAsia" w:ascii="宋体" w:hAnsi="宋体" w:eastAsia="方正仿宋简体" w:cs="方正仿宋简体"/>
          <w:color w:val="auto"/>
          <w:highlight w:val="none"/>
        </w:rPr>
        <w:t>坚持</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应用智能化</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模式</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eastAsia="zh-CN"/>
        </w:rPr>
      </w:pPr>
      <w:r>
        <w:rPr>
          <w:rFonts w:hint="eastAsia" w:ascii="宋体" w:hAnsi="宋体" w:eastAsia="方正仿宋简体" w:cs="方正仿宋简体"/>
          <w:color w:val="auto"/>
          <w:highlight w:val="none"/>
        </w:rPr>
        <w:t>通过先进的互联网技术，完善ERP、财务管理、零售管理、一二次物流等系统，实现油品和非油品的智能化和环保化管理。引入设备设施环保管理理念，加快双层油罐、油气回收系统、中管控系统、液位仪和报警装置等推广应用；精确计算和评价能耗情况，大力推广光伏发电应用，有效促进加油站节能增效</w:t>
      </w:r>
      <w:r>
        <w:rPr>
          <w:rFonts w:hint="eastAsia" w:ascii="宋体" w:hAnsi="宋体" w:eastAsia="方正仿宋简体" w:cs="方正仿宋简体"/>
          <w:color w:val="auto"/>
          <w:highlight w:val="none"/>
          <w:lang w:eastAsia="zh-CN"/>
        </w:rPr>
        <w:t>。</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lang w:val="en-US" w:eastAsia="zh-CN"/>
        </w:rPr>
        <w:t>三</w:t>
      </w: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lang w:val="en-US" w:eastAsia="zh-CN"/>
        </w:rPr>
        <w:t>多元化经营模式</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rPr>
        <w:t>除传统的加油区、便利店外，还增设汽车充电、快餐、书吧、智能无人体验店等业务，满足客户不同的消费需求。地磁感应、车牌识别、刷脸支付、优选智能便利店、智能化支付、电子发票、智慧环保等智能元素融入其中，为顾客提供更高的服务体验。</w:t>
      </w:r>
    </w:p>
    <w:p>
      <w:pPr>
        <w:pageBreakBefore w:val="0"/>
        <w:widowControl w:val="0"/>
        <w:kinsoku/>
        <w:wordWrap/>
        <w:overflowPunct/>
        <w:topLinePunct w:val="0"/>
        <w:autoSpaceDE/>
        <w:autoSpaceDN/>
        <w:bidi w:val="0"/>
        <w:adjustRightInd/>
        <w:snapToGrid/>
        <w:textAlignment w:val="auto"/>
        <w:rPr>
          <w:rFonts w:hint="eastAsia" w:ascii="宋体" w:hAnsi="宋体" w:eastAsia="楷体_GB2312" w:cs="楷体_GB2312"/>
          <w:color w:val="auto"/>
          <w:highlight w:val="none"/>
          <w:lang w:val="en-US" w:eastAsia="zh-CN"/>
        </w:rPr>
      </w:pPr>
      <w:r>
        <w:rPr>
          <w:rFonts w:hint="eastAsia" w:ascii="宋体" w:hAnsi="宋体" w:eastAsia="楷体_GB2312" w:cs="楷体_GB2312"/>
          <w:color w:val="auto"/>
          <w:highlight w:val="none"/>
          <w:lang w:val="en-US" w:eastAsia="zh-CN"/>
        </w:rPr>
        <w:t>二、智慧加油站的发展与探索</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rPr>
      </w:pP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lang w:val="en-US" w:eastAsia="zh-CN"/>
        </w:rPr>
        <w:t>一</w:t>
      </w: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智慧支付，打造支付新体验</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rPr>
        <w:t>以消费者需求为根本出发点，创新互联网用户思维、产品思维、迭代思维模式，开发加油闪付、极简支付、自助支付、非油自付等智慧体系。通过APP选择所在油站和加油枪号，完成一键支付，免除下车支付环节；通过自助支付终端设备进行加油扫码支付，实时开具电子发票；通过在车辆安装RFID标签，开通APP服务功能，油机即可识别车辆及客户信息，快速完成加油消费；通过非油自助终端设备完成商品扫码、扫券及付款，提升客户消费体验。</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lang w:val="en-US" w:eastAsia="zh-CN"/>
        </w:rPr>
        <w:t>二</w:t>
      </w: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智慧营销，打造经营新格局</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rPr>
        <w:t>完善油品与非油品站级一体化系统，运用加油卡数据建立分析模型，制定差异化营销策略。自动识别进站加油车辆，从属性、频次多维度分析客户行为，并将车牌、人脸数据关联油品、非油品交易记录。构建以会员客户为中心的营销平台及管理体系，利用石化钱包、电子券、会员积分等线上营销方式，促进用户持续消费行为。通过微信公众号、</w:t>
      </w:r>
      <w:r>
        <w:rPr>
          <w:rFonts w:hint="eastAsia" w:ascii="宋体" w:hAnsi="宋体" w:eastAsia="方正仿宋简体" w:cs="方正仿宋简体"/>
          <w:color w:val="auto"/>
          <w:highlight w:val="none"/>
          <w:lang w:eastAsia="zh-CN"/>
        </w:rPr>
        <w:t>加油</w:t>
      </w:r>
      <w:r>
        <w:rPr>
          <w:rFonts w:hint="eastAsia" w:ascii="宋体" w:hAnsi="宋体" w:eastAsia="方正仿宋简体" w:cs="方正仿宋简体"/>
          <w:color w:val="auto"/>
          <w:highlight w:val="none"/>
        </w:rPr>
        <w:t>APP和易捷商城的联合应用，推送图、文、音相结合的优惠消息及微视频，扩大主题营销活动影响力。</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rPr>
      </w:pP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三</w:t>
      </w: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智慧管理，打造油站新应用</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rPr>
        <w:t>智慧加油站拥有可视化智能化分析预警系统，通过识别系统监测车辆进站次数、消费频次以及留存时间，收集并完善客户车牌、加油卡号等信息档案，建立以客户为维度的数据模型，精准触达目标客户，为下一步的营销决策提供参考依据。通过对客户的购买行为、消费能力的数据分析，划分商品销售</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黄金区域</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与</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普通区域</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优化调整货架布局、堆头陈列与商品结构，提升便利店坪效水平。通过设备识别验证现场施工、接卸油等环节，统计员工活动热图，优化高峰期人员配备，提升现场管理水平。探索智慧管理应用，启动光伏发电项目，以智能化手段促进节能管理，推动绿色企业行动计划。</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rPr>
      </w:pP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四</w:t>
      </w: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智慧服务，打造</w:t>
      </w: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汽车生活</w:t>
      </w:r>
      <w:r>
        <w:rPr>
          <w:rFonts w:hint="eastAsia" w:ascii="宋体" w:hAnsi="宋体" w:eastAsia="方正仿宋简体" w:cs="方正仿宋简体"/>
          <w:b/>
          <w:bCs/>
          <w:color w:val="auto"/>
          <w:highlight w:val="none"/>
          <w:lang w:eastAsia="zh-CN"/>
        </w:rPr>
        <w:t>”</w:t>
      </w:r>
      <w:r>
        <w:rPr>
          <w:rFonts w:hint="eastAsia" w:ascii="宋体" w:hAnsi="宋体" w:eastAsia="方正仿宋简体" w:cs="方正仿宋简体"/>
          <w:b/>
          <w:bCs/>
          <w:color w:val="auto"/>
          <w:highlight w:val="none"/>
        </w:rPr>
        <w:t>驿站</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rPr>
      </w:pPr>
      <w:r>
        <w:rPr>
          <w:rFonts w:hint="eastAsia" w:ascii="宋体" w:hAnsi="宋体" w:eastAsia="方正仿宋简体" w:cs="方正仿宋简体"/>
          <w:color w:val="auto"/>
          <w:highlight w:val="none"/>
        </w:rPr>
        <w:t>智慧加油站汇聚了加油区、易捷门店、汽车服务区、自助区等功能，提供加油购物、汽车保养、办卡缴费等服务，提升客户便捷化、多元化的消费体验。加强与高德地图等应用商合作，推送最新油价及营销信息，智能高效引流客户。搭建统一汽服平台，将合作商纳入易捷汽服系统，深化电子券、油非互动等营销服务。设立智慧展示区及扫码购专区，引入第三方合作商，提供餐饮、保险、违章代办、旅游等增值服务项目，实现油非经营</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双增长</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eastAsia="zh-CN"/>
        </w:rPr>
      </w:pPr>
      <w:r>
        <w:rPr>
          <w:rFonts w:hint="eastAsia" w:ascii="宋体" w:hAnsi="宋体" w:eastAsia="方正仿宋简体" w:cs="方正仿宋简体"/>
          <w:b/>
          <w:bCs/>
          <w:color w:val="auto"/>
          <w:highlight w:val="none"/>
          <w:lang w:eastAsia="zh-CN"/>
        </w:rPr>
        <w:t>（五）油站转型，打造综合性能源补给站</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lang w:eastAsia="zh-CN"/>
        </w:rPr>
      </w:pPr>
      <w:r>
        <w:rPr>
          <w:rFonts w:hint="eastAsia" w:ascii="宋体" w:hAnsi="宋体" w:eastAsia="方正仿宋简体" w:cs="方正仿宋简体"/>
          <w:color w:val="auto"/>
        </w:rPr>
        <w:t>随着碳达峰、碳中和目标确立，以及新能源汽车充电桩被纳入新基建行列</w:t>
      </w:r>
      <w:r>
        <w:rPr>
          <w:rFonts w:hint="eastAsia" w:ascii="宋体" w:hAnsi="宋体" w:eastAsia="方正仿宋简体" w:cs="方正仿宋简体"/>
          <w:color w:val="auto"/>
          <w:lang w:eastAsia="zh-CN"/>
        </w:rPr>
        <w:t>，传统加油站转型升级便是必</w:t>
      </w:r>
      <w:r>
        <w:rPr>
          <w:rFonts w:hint="eastAsia" w:ascii="宋体" w:hAnsi="宋体" w:eastAsia="方正仿宋简体" w:cs="方正仿宋简体"/>
          <w:lang w:eastAsia="zh-CN"/>
        </w:rPr>
        <w:t>然选择。综合性能源补给站为加油站转型升级带来新选择。</w:t>
      </w:r>
      <w:r>
        <w:rPr>
          <w:rFonts w:hint="eastAsia" w:ascii="宋体" w:hAnsi="宋体" w:eastAsia="方正仿宋简体" w:cs="方正仿宋简体"/>
          <w:color w:val="auto"/>
          <w:highlight w:val="none"/>
          <w:lang w:eastAsia="zh-CN"/>
        </w:rPr>
        <w:t>综合性能源补给站</w:t>
      </w:r>
      <w:r>
        <w:rPr>
          <w:rFonts w:hint="eastAsia" w:ascii="宋体" w:hAnsi="宋体" w:eastAsia="方正仿宋简体" w:cs="方正仿宋简体"/>
          <w:lang w:eastAsia="zh-CN"/>
        </w:rPr>
        <w:t>可为广大车主提供一站式能源综合服务，集合加油、充电、加氢等功能于一体，帮助油站业主摆脱单一能源供应的局限性，一跃成为综合性能源服务载体，满足当下车主的多元化消费需求。同时，在非油服务领域快速渗透，增加运营利润，实现融合发展。</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24" w:name="_Toc9913"/>
      <w:r>
        <w:rPr>
          <w:rFonts w:hint="eastAsia" w:ascii="宋体" w:hAnsi="宋体" w:cs="Times New Roman"/>
          <w:b w:val="0"/>
          <w:bCs w:val="0"/>
          <w:color w:val="auto"/>
          <w:highlight w:val="none"/>
          <w:lang w:val="en-US" w:eastAsia="zh-CN"/>
        </w:rPr>
        <w:t xml:space="preserve">第七节 </w:t>
      </w:r>
      <w:r>
        <w:rPr>
          <w:rFonts w:hint="default" w:ascii="宋体" w:hAnsi="宋体" w:cs="Times New Roman"/>
          <w:b w:val="0"/>
          <w:bCs w:val="0"/>
          <w:color w:val="auto"/>
          <w:highlight w:val="none"/>
          <w:lang w:val="en-US" w:eastAsia="zh-CN"/>
        </w:rPr>
        <w:t>环境影响评价分析</w:t>
      </w:r>
      <w:bookmarkEnd w:id="24"/>
    </w:p>
    <w:p>
      <w:pPr>
        <w:pageBreakBefore w:val="0"/>
        <w:widowControl w:val="0"/>
        <w:kinsoku/>
        <w:wordWrap/>
        <w:overflowPunct/>
        <w:topLinePunct w:val="0"/>
        <w:autoSpaceDE/>
        <w:autoSpaceDN/>
        <w:bidi w:val="0"/>
        <w:adjustRightInd/>
        <w:snapToGrid/>
        <w:textAlignment w:val="auto"/>
        <w:rPr>
          <w:rFonts w:hint="eastAsia" w:ascii="宋体" w:hAnsi="宋体" w:eastAsia="楷体_GB2312" w:cs="楷体_GB2312"/>
          <w:color w:val="auto"/>
          <w:highlight w:val="none"/>
          <w:lang w:val="en-US" w:eastAsia="zh-CN"/>
        </w:rPr>
      </w:pPr>
      <w:r>
        <w:rPr>
          <w:rFonts w:hint="eastAsia" w:ascii="宋体" w:hAnsi="宋体" w:eastAsia="楷体_GB2312" w:cs="楷体_GB2312"/>
          <w:color w:val="auto"/>
          <w:highlight w:val="none"/>
          <w:lang w:val="en-US" w:eastAsia="zh-CN"/>
        </w:rPr>
        <w:t>一、环境影响分析及措施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（一）水环境影响分析及措施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主要水污染物为地面清洗废水以及职工的生活污水，只要处理得当，将对周围环境影响较小。</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b/>
          <w:bCs/>
          <w:color w:val="auto"/>
          <w:highlight w:val="none"/>
          <w:lang w:val="en-US" w:eastAsia="zh-CN"/>
        </w:rPr>
        <w:t>措施：</w:t>
      </w:r>
      <w:r>
        <w:rPr>
          <w:rFonts w:hint="eastAsia" w:ascii="宋体" w:hAnsi="宋体" w:eastAsia="方正仿宋简体" w:cs="方正仿宋简体"/>
          <w:color w:val="auto"/>
          <w:highlight w:val="none"/>
          <w:lang w:val="en-US" w:eastAsia="zh-CN"/>
        </w:rPr>
        <w:t>加快污水处理厂、排污口及污水收集管网的建设，污水分类收集；减少污染物排放总量。提高水循环利用率，加强中水回用。其中废水处理按照地表水导则中三级B进行分析，进行地表水评价等级判定，废水经过处理设施处理后能够综合利用或者达标排放，对环境影响较小。</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（二）大气环境影响分析及措施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主要大气污染物为油品的损耗（跑冒滴漏），扩散到大气环境中的油品产生非甲烷总烃污染物。加油站油品的损耗主要来源于两个方面：一是保管损耗，指油品在贮存过程中的损耗。二是发油损耗，主要为油品的销售损耗，指油品从加油机加注车辆油箱时产生的损耗。</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b/>
          <w:bCs/>
          <w:color w:val="auto"/>
          <w:highlight w:val="none"/>
          <w:lang w:val="en-US" w:eastAsia="zh-CN"/>
        </w:rPr>
        <w:t>措施：</w:t>
      </w:r>
      <w:r>
        <w:rPr>
          <w:rFonts w:hint="eastAsia" w:ascii="宋体" w:hAnsi="宋体" w:eastAsia="方正仿宋简体" w:cs="方正仿宋简体"/>
          <w:color w:val="auto"/>
          <w:highlight w:val="none"/>
          <w:lang w:val="en-US" w:eastAsia="zh-CN"/>
        </w:rPr>
        <w:t>优化工艺流程，密闭系统，减少油罐的排空气体和销售过程中跑、冒、滴、漏挥发出的有机烃；加油、卸油过程中设置油气回收设施，降低加油和卸油过程中非甲烷总烃的排放量；储油过程要求使用双层浮顶罐，并对储油时设置油气回收装置；项目储存油罐均采用地埋式工艺安放储罐，这样可以保持油罐的恒温，降低蒸发损耗，减少烃类物质的排放；使用清洁能源，减少污染物的产生，增加对废气的处理程度；进一步加强扬尘控制管理；调整产业和产品结构；加大绿化力度，不仅形成良好的景观，且有效减轻污染。</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（三）声环境影响分析及措施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主要噪声源为加油站内来往的加油汽车、摩托车启动时产生的噪声及加油泵产生的噪声，噪声源强为70～80dB（A）。而各加油站厂内无高产噪设备，区域噪声值符合周围声环境功能区划，对周围环境影响较小。</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b/>
          <w:bCs/>
          <w:color w:val="auto"/>
          <w:highlight w:val="none"/>
          <w:lang w:val="en-US" w:eastAsia="zh-CN"/>
        </w:rPr>
        <w:t>措施：</w:t>
      </w:r>
      <w:r>
        <w:rPr>
          <w:rFonts w:hint="eastAsia" w:ascii="宋体" w:hAnsi="宋体" w:eastAsia="方正仿宋简体" w:cs="方正仿宋简体"/>
          <w:color w:val="auto"/>
          <w:highlight w:val="none"/>
          <w:lang w:val="en-US" w:eastAsia="zh-CN"/>
        </w:rPr>
        <w:t>执行噪声功能区划方案，合理布局；对项目噪声源以点源或者面源形式进行预测，在设置了隔声、减振措施后，预测四周厂界和周围200m（评价范围）内敏感点的噪声贡献值；合理规划和建筑物合理布局，在规划时考虑环境噪声影响最小的建筑布局；对出入加油站的车辆严格管理，禁止鸣笛等制造噪声行为。</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（四）固体废物环境影响分析及措施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固体废物在一定条件下会产生化学的、物理的或生物的转化，对周围环境造成一定的影响。如果处理方式不当，有害物质将通过水、气、土壤、食物链等途径危害环境与人体健康。该项目的固体废物主要为生活垃圾、废油渣、含油废抹布。</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b/>
          <w:bCs/>
          <w:color w:val="auto"/>
          <w:highlight w:val="none"/>
          <w:lang w:val="en-US" w:eastAsia="zh-CN"/>
        </w:rPr>
        <w:t>措施：</w:t>
      </w:r>
      <w:r>
        <w:rPr>
          <w:rFonts w:hint="eastAsia" w:ascii="宋体" w:hAnsi="宋体" w:eastAsia="方正仿宋简体" w:cs="方正仿宋简体"/>
          <w:color w:val="auto"/>
          <w:highlight w:val="none"/>
          <w:lang w:val="en-US" w:eastAsia="zh-CN"/>
        </w:rPr>
        <w:t>项目固体废物主要为生活垃圾、废油渣、含油废抹布，生活垃圾采用垃圾箱收集，由环卫部门负责统一清运处理；废油渣以危废形式暂存在危废暂存间，定期交由具有危废处理资质单位处理；废抹布混合在生活垃圾中后可以和生活垃圾一起由环卫部门清运。</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（五）生态环境影响分析</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加油站的规划建设过程中会对一定范围内农业生态系统造成一定程度的影响，但在区域范围内这种损失的影响很小。在规划实施的同时，须加强区域内的绿化工作，规划建设不会使周边区域的植被类型发生根本性的转变。</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（六）土壤环境影响分析</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规划实施后，生产产生的废水、废气，会直接或间接进入区内绿地土壤和近区农用地土壤，导致土壤环境及陆域生物环境的明显累积性污染影响，从而将加大对区域人群健康危害风险。规划项目的生产废水、废气的量小，不会使周边区域的土壤环境发生根本性的转变。</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（七）社会经济环境影响分析</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加油站的规划建设，使城市之间的联系更加紧密，交通更加便利，这种转变对区域社会经济的影响不仅表现在经济效益的增长，同时也带来社会效益和环保效益，这些影响既包括正面的，也包括负面的。</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（八）其他环境影响的应急措施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1.消防管理与应急措施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1）作业场所和辅助生产作业区域按规定设置消防安全标志，配置灭火器材。灭火器的类型适合于配置场所的火灾种类、危险等级及保护物品特点等要求。</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2）不得损坏或者擅自使用、拆除、停用消防设施、器材，不得埋压、圈占消火栓。</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3）各种泡沫枪、钩管、支架等配备齐全、整洁、摆放位置适当。消防水带盘卷整齐存放在干燥的专用箱内，须符合相关要求，耐压力强度符合规定值。</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4）露天设置的手提式灭火器安放在挂钩、托架或专用箱内，并防雨、防尘、防潮。其顶部离地面高度小于1.5米；底部离地面高度不宜小于0.15米；可燃气体检测报警器安装离地坪0.3至0.6米，每年进行检测。</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5）罐区消火栓的间距不宜超过0.6米，地上式消火栓的大口径出水口面向道路，地下式消火栓设有明显标志。</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6）不得堵塞消防通道，及任意挪用或损坏消防设施，禁止使用未经有资格的检验机构检验的消防产品。</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7）各类灭火器标识明显、取用方便，并按期检验、充气、换药，不合格的灭火器及时报废、更新。</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8）消防水池内不得有水草、杂物，寒冷地区设有防冻措施。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2.防火防爆管理与应急措施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1）油库在爆炸危险场所、生产经营场所和有关设施、设备上，设置明显的安全警示标志。</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2）严禁携带香烟火种、手机和易燃、易爆、有毒、易腐蚀物品入库。严禁未办理用火作业票，在库内进行施工动火或生活用火。</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3）严禁未经批准的各种机动车辆进入爆炸危险场所。</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4）严禁在爆炸危险场所内使用非防爆设备、器材、工具。</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5）严禁就地排放易燃、易爆物料及其他化学品。严禁堵塞消防通道及任意挪用消防设施。严禁随意移动、损坏库内各类设施。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6）严禁用汽油等易挥发溶剂擦洗设备、衣服、工具及地面等。</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3.防雷防静电管理与应急措施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1）防雷设计严格遵守《建筑物防雷设计规范》（GB 50057-2010）、《石油库设计规范》（GB 50074-2014）等规范要执行。建立健全防雷、防静电设施的检查、测试档案，档案的内容包括竣工图纸和测试报告、防雷防静电设施平面布置、编号等内容。</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2）防雷防静电设施每年根据国家规定定期检查测试，发现问题于两周内处理完毕，检查测试工作由当地气象部门进行，油库安全员负责组织实施。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3）电话线、照明线的架设不得穿越避雷网或绑绕避雷塔。采样、测温、检尺等作业工具投用前仔细进行安全检查，符合防静电要求才准许使用。</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4）爆炸危险场所、输送可燃液体的管道、设备、容器按要求进行接地，汽、煤、柴、溶剂油等易燃物的阀门、法兰之间，其接触电阻大于0.03欧姆时，增设金属跨接线。检修时需拆开的跨接线，检修后要原样恢复。</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5）金属油罐作防雷防静电接地，按油罐周长每30米接地1处，且不少于2处，接地体入地点与罐壁的间距大于3米；接地引线与被保护体采用不小于M10的不锈钢螺栓（不少于2个）连接。上罐扶梯入口处有消除人体静电装置，并完好有效。</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6）地面立式金属罐的接地装置技术要符合规定。其电阻值不得大于10欧姆。油库中其它部位的静电接地装置的电阻值不得大于100欧姆，油罐汽车保持有效长度的接地拖链，在装卸油前先接好静电接地线。</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7）上岗操作人员必须穿戴公司指定的防护用品，操作过程中不准穿脱衣服和鞋靴，不准梳头。在易燃易爆危险场所不准使用化纤布料擦试设备和地板。严禁穿易产生静电的服装和带铁钉的鞋进入爆炸危险场所。</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b/>
          <w:bCs/>
          <w:color w:val="auto"/>
          <w:highlight w:val="none"/>
          <w:lang w:val="en-US" w:eastAsia="zh-CN"/>
        </w:rPr>
        <w:t>（九）环境影响风险分析与评价</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rPr>
        <w:t>加油站存在的主要环境风险突发事件为火灾与爆炸、溢出与泄露两大类。一旦发生此类环境风险突发事件将会对周围空气、水体、土壤造成一定的危害。</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val="0"/>
          <w:bCs w:val="0"/>
          <w:color w:val="auto"/>
          <w:highlight w:val="none"/>
        </w:rPr>
      </w:pPr>
      <w:r>
        <w:rPr>
          <w:rFonts w:hint="eastAsia" w:ascii="宋体" w:hAnsi="宋体" w:eastAsia="方正仿宋简体" w:cs="方正仿宋简体"/>
          <w:b w:val="0"/>
          <w:bCs w:val="0"/>
          <w:color w:val="auto"/>
          <w:highlight w:val="none"/>
          <w:lang w:val="en-US" w:eastAsia="zh-CN"/>
        </w:rPr>
        <w:t>水体影响分析。加油站点</w:t>
      </w:r>
      <w:r>
        <w:rPr>
          <w:rFonts w:hint="eastAsia" w:ascii="宋体" w:hAnsi="宋体" w:eastAsia="方正仿宋简体" w:cs="方正仿宋简体"/>
          <w:b w:val="0"/>
          <w:bCs w:val="0"/>
          <w:color w:val="auto"/>
          <w:highlight w:val="none"/>
        </w:rPr>
        <w:t>储油罐和输油管线的跑、冒、漏油</w:t>
      </w:r>
      <w:r>
        <w:rPr>
          <w:rFonts w:hint="eastAsia" w:ascii="宋体" w:hAnsi="宋体" w:eastAsia="方正仿宋简体" w:cs="方正仿宋简体"/>
          <w:b w:val="0"/>
          <w:bCs w:val="0"/>
          <w:color w:val="auto"/>
          <w:highlight w:val="none"/>
          <w:lang w:eastAsia="zh-CN"/>
        </w:rPr>
        <w:t>会</w:t>
      </w:r>
      <w:r>
        <w:rPr>
          <w:rFonts w:hint="eastAsia" w:ascii="宋体" w:hAnsi="宋体" w:eastAsia="方正仿宋简体" w:cs="方正仿宋简体"/>
          <w:b w:val="0"/>
          <w:bCs w:val="0"/>
          <w:color w:val="auto"/>
          <w:highlight w:val="none"/>
        </w:rPr>
        <w:t>给处于环保敏感区的城市中心带来了</w:t>
      </w:r>
      <w:r>
        <w:rPr>
          <w:rFonts w:hint="eastAsia" w:ascii="宋体" w:hAnsi="宋体" w:eastAsia="方正仿宋简体" w:cs="方正仿宋简体"/>
          <w:b w:val="0"/>
          <w:bCs w:val="0"/>
          <w:color w:val="auto"/>
          <w:highlight w:val="none"/>
          <w:lang w:eastAsia="zh-CN"/>
        </w:rPr>
        <w:t>较</w:t>
      </w:r>
      <w:r>
        <w:rPr>
          <w:rFonts w:hint="eastAsia" w:ascii="宋体" w:hAnsi="宋体" w:eastAsia="方正仿宋简体" w:cs="方正仿宋简体"/>
          <w:b w:val="0"/>
          <w:bCs w:val="0"/>
          <w:color w:val="auto"/>
          <w:highlight w:val="none"/>
        </w:rPr>
        <w:t>严重的地下水污染。</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val="0"/>
          <w:bCs w:val="0"/>
          <w:color w:val="auto"/>
          <w:highlight w:val="none"/>
          <w:lang w:val="en-US" w:eastAsia="zh-CN"/>
        </w:rPr>
      </w:pPr>
      <w:r>
        <w:rPr>
          <w:rFonts w:hint="eastAsia" w:ascii="宋体" w:hAnsi="宋体" w:eastAsia="方正仿宋简体" w:cs="方正仿宋简体"/>
          <w:b w:val="0"/>
          <w:bCs w:val="0"/>
          <w:color w:val="auto"/>
          <w:highlight w:val="none"/>
          <w:lang w:val="en-US" w:eastAsia="zh-CN"/>
        </w:rPr>
        <w:t>大气影响分析。加油站点大气环境污染主要是挥发性有机物、二氧化硫、氮氧化物、烟尘、硫化氢等，可能存在生储罐和装卸过程挥发损失、废水废液废渣系统逸散等无组织排放及非正常工况排污。</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val="0"/>
          <w:bCs w:val="0"/>
          <w:color w:val="auto"/>
          <w:highlight w:val="none"/>
          <w:u w:val="none"/>
          <w:lang w:val="en-US" w:eastAsia="zh-CN"/>
        </w:rPr>
      </w:pPr>
      <w:r>
        <w:rPr>
          <w:rFonts w:hint="eastAsia" w:ascii="宋体" w:hAnsi="宋体" w:eastAsia="方正仿宋简体" w:cs="方正仿宋简体"/>
          <w:b w:val="0"/>
          <w:bCs w:val="0"/>
          <w:color w:val="auto"/>
          <w:highlight w:val="none"/>
          <w:lang w:val="en-US" w:eastAsia="zh-CN"/>
        </w:rPr>
        <w:t>土壤影响分析。输油管道建设中可能对防洪设施、水资源造成影响，大量占压和扰动地表、破坏地貌植被，易造成水土流失。</w:t>
      </w:r>
    </w:p>
    <w:p>
      <w:pPr>
        <w:pageBreakBefore w:val="0"/>
        <w:widowControl w:val="0"/>
        <w:kinsoku/>
        <w:wordWrap/>
        <w:overflowPunct/>
        <w:topLinePunct w:val="0"/>
        <w:autoSpaceDE/>
        <w:autoSpaceDN/>
        <w:bidi w:val="0"/>
        <w:adjustRightInd/>
        <w:snapToGrid/>
        <w:textAlignment w:val="auto"/>
        <w:rPr>
          <w:rFonts w:hint="eastAsia" w:ascii="宋体" w:hAnsi="宋体" w:eastAsia="楷体_GB2312" w:cs="楷体_GB2312"/>
          <w:b w:val="0"/>
          <w:bCs w:val="0"/>
          <w:color w:val="auto"/>
          <w:highlight w:val="none"/>
          <w:lang w:val="en-US" w:eastAsia="zh-CN"/>
        </w:rPr>
      </w:pPr>
      <w:r>
        <w:rPr>
          <w:rFonts w:hint="eastAsia" w:ascii="宋体" w:hAnsi="宋体" w:eastAsia="楷体_GB2312" w:cs="楷体_GB2312"/>
          <w:b w:val="0"/>
          <w:bCs w:val="0"/>
          <w:color w:val="auto"/>
          <w:highlight w:val="none"/>
          <w:lang w:val="en-US" w:eastAsia="zh-CN"/>
        </w:rPr>
        <w:t>二、</w:t>
      </w:r>
      <w:bookmarkStart w:id="25" w:name="_Toc19544"/>
      <w:r>
        <w:rPr>
          <w:rFonts w:hint="eastAsia" w:ascii="宋体" w:hAnsi="宋体" w:eastAsia="楷体_GB2312" w:cs="楷体_GB2312"/>
          <w:b w:val="0"/>
          <w:bCs w:val="0"/>
          <w:color w:val="auto"/>
          <w:highlight w:val="none"/>
          <w:lang w:val="en-US" w:eastAsia="zh-CN"/>
        </w:rPr>
        <w:t>环境保护管理与措施</w:t>
      </w:r>
      <w:bookmarkEnd w:id="25"/>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（一）环境保护管理</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1.含油污水经处理后排放水质达到国家《污水综合排放标准》（GB-8978）的规定。按《石油化工企业可燃气体和有毒气体检测报警设计规范》（GB/T 23524-2019）的要求在汽油罐区、油泵房（棚）、发油亭处设置可燃气体监测器。</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2.油库储油罐、输油管线采取防渗漏扩散的保护措施，并设置渗漏检测设施。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3.油库设置符合设计规范要求的防护堤，油污水分离池（槽）。油库采用油气回收装置。</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4.化验污油、废油、生活垃圾等分类管理，集中存放和处理，不得随意排放，固废物处置要符合规定。</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5.清洗油罐及其它容器的油渣、污油、含油污水，可作为燃料或其它无害化处理。</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6.油库有绿化规划，种植符合规定的乔灌木、花草。</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b/>
          <w:bCs/>
          <w:color w:val="auto"/>
          <w:highlight w:val="none"/>
          <w:lang w:val="en-US" w:eastAsia="zh-CN"/>
        </w:rPr>
      </w:pPr>
      <w:r>
        <w:rPr>
          <w:rFonts w:hint="eastAsia" w:ascii="宋体" w:hAnsi="宋体" w:eastAsia="方正仿宋简体" w:cs="方正仿宋简体"/>
          <w:b/>
          <w:bCs/>
          <w:color w:val="auto"/>
          <w:highlight w:val="none"/>
          <w:lang w:val="en-US" w:eastAsia="zh-CN"/>
        </w:rPr>
        <w:t>（二）环境保护措施</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环境保护工作除了建设环保防控体系外，还推进产业结构优化升级，以提高能效、降低资源和能源消耗为重点，努力形成“低投入、低消耗、低排放、高效率”的发展模式。</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完善节能环保管理体系，强化节能环保监督管理。全面贯彻落实节约能源、污染防治等有关法律法规、管理规定和标准。做好建设项目的环境影响评价、节能审查评估工作。加强建设项目防洪影响和水资源论证工作，切实落实建设项目水土保持方案制度和“三同时”制度，认真实施水土保持预防和治理措施，控制人为水土流失。</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强化源头控制，加大污染治理力度。实施工艺改进、生产环节和废水废液废渣系统封闭性改造、设备泄漏检测与修复（LDAR）、罐型和装卸方式改进等措施，对易泄漏环节制定针对性改进措施，从源头减少挥发性有机物的泄漏排放。加强锅炉污染治理，确保稳定达标排放。推进清洁生产，开展综合利用，大力推广二氧化碳驱油和埋存技术。加大环保投入和科研开发，加强环保监控系统建设，强化环保队伍建设。</w:t>
      </w:r>
    </w:p>
    <w:p>
      <w:pPr>
        <w:pageBreakBefore w:val="0"/>
        <w:widowControl w:val="0"/>
        <w:kinsoku/>
        <w:wordWrap/>
        <w:overflowPunct/>
        <w:topLinePunct w:val="0"/>
        <w:autoSpaceDE/>
        <w:autoSpaceDN/>
        <w:bidi w:val="0"/>
        <w:adjustRightInd/>
        <w:snapToGrid/>
        <w:textAlignment w:val="auto"/>
        <w:rPr>
          <w:rFonts w:hint="eastAsia"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加强用地协调。对可能与石油发展规划实施有用地矛盾、相互制约的土地功能区划（自然保护区、森林公园等），需提前做好协调和沟通工作。</w:t>
      </w:r>
    </w:p>
    <w:p>
      <w:pPr>
        <w:bidi w:val="0"/>
        <w:rPr>
          <w:rFonts w:hint="eastAsia" w:ascii="宋体" w:hAnsi="宋体" w:eastAsia="黑体" w:cs="黑体"/>
          <w:color w:val="auto"/>
          <w:highlight w:val="none"/>
          <w:lang w:val="en-US" w:eastAsia="zh-CN"/>
        </w:rPr>
      </w:pPr>
    </w:p>
    <w:p>
      <w:pPr>
        <w:rPr>
          <w:rFonts w:hint="eastAsia" w:ascii="宋体" w:hAnsi="宋体" w:eastAsia="黑体" w:cs="黑体"/>
          <w:b/>
          <w:color w:val="auto"/>
          <w:highlight w:val="none"/>
          <w:lang w:val="en-US" w:eastAsia="zh-CN"/>
        </w:rPr>
      </w:pPr>
      <w:r>
        <w:rPr>
          <w:rFonts w:hint="eastAsia" w:ascii="宋体" w:hAnsi="宋体" w:eastAsia="黑体" w:cs="黑体"/>
          <w:b/>
          <w:color w:val="auto"/>
          <w:highlight w:val="none"/>
          <w:lang w:val="en-US" w:eastAsia="zh-CN"/>
        </w:rPr>
        <w:br w:type="page"/>
      </w:r>
    </w:p>
    <w:p>
      <w:pPr>
        <w:pStyle w:val="3"/>
        <w:numPr>
          <w:ilvl w:val="0"/>
          <w:numId w:val="0"/>
        </w:numPr>
        <w:bidi w:val="0"/>
        <w:ind w:left="402" w:leftChars="0"/>
        <w:jc w:val="center"/>
        <w:rPr>
          <w:rFonts w:hint="eastAsia" w:ascii="宋体" w:hAnsi="宋体" w:eastAsia="方正小标宋简体" w:cs="方正小标宋简体"/>
          <w:b w:val="0"/>
          <w:bCs/>
          <w:color w:val="auto"/>
          <w:highlight w:val="none"/>
          <w:lang w:val="en-US" w:eastAsia="zh-CN"/>
        </w:rPr>
      </w:pPr>
      <w:bookmarkStart w:id="26" w:name="_Toc2498"/>
      <w:r>
        <w:rPr>
          <w:rFonts w:hint="eastAsia" w:ascii="宋体" w:hAnsi="宋体" w:eastAsia="方正小标宋简体" w:cs="方正小标宋简体"/>
          <w:b w:val="0"/>
          <w:bCs/>
          <w:color w:val="auto"/>
          <w:highlight w:val="none"/>
          <w:lang w:val="en-US" w:eastAsia="zh-CN"/>
        </w:rPr>
        <w:t>第五章 规划实施保障措施</w:t>
      </w:r>
      <w:bookmarkEnd w:id="26"/>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27" w:name="_Toc2890"/>
      <w:r>
        <w:rPr>
          <w:rFonts w:hint="eastAsia" w:ascii="宋体" w:hAnsi="宋体" w:cs="Times New Roman"/>
          <w:b w:val="0"/>
          <w:bCs w:val="0"/>
          <w:color w:val="auto"/>
          <w:highlight w:val="none"/>
          <w:lang w:val="en-US" w:eastAsia="zh-CN"/>
        </w:rPr>
        <w:t xml:space="preserve">第一节 </w:t>
      </w:r>
      <w:r>
        <w:rPr>
          <w:rFonts w:hint="default" w:ascii="宋体" w:hAnsi="宋体" w:cs="Times New Roman"/>
          <w:b w:val="0"/>
          <w:bCs w:val="0"/>
          <w:color w:val="auto"/>
          <w:highlight w:val="none"/>
          <w:lang w:val="en-US" w:eastAsia="zh-CN"/>
        </w:rPr>
        <w:t>加强组织领导，明确责任分工</w:t>
      </w:r>
      <w:bookmarkEnd w:id="27"/>
    </w:p>
    <w:p>
      <w:pPr>
        <w:bidi w:val="0"/>
        <w:rPr>
          <w:rFonts w:hint="eastAsia" w:ascii="宋体" w:hAnsi="宋体" w:eastAsia="方正仿宋简体" w:cs="方正仿宋简体"/>
          <w:color w:val="auto"/>
          <w:highlight w:val="none"/>
          <w:lang w:eastAsia="zh-CN"/>
        </w:rPr>
      </w:pPr>
      <w:r>
        <w:rPr>
          <w:rFonts w:hint="eastAsia" w:ascii="宋体" w:hAnsi="宋体" w:eastAsia="方正仿宋简体" w:cs="方正仿宋简体"/>
          <w:color w:val="auto"/>
          <w:highlight w:val="none"/>
          <w:lang w:val="en-US" w:eastAsia="zh-CN"/>
        </w:rPr>
        <w:t>师市职能部门按照职责分工，依据本行业发展规划和相关法律法规，加大行政执法力度，加强加油站行业管理。师市规划部门按照本规</w:t>
      </w:r>
      <w:r>
        <w:rPr>
          <w:rFonts w:hint="eastAsia" w:ascii="宋体" w:hAnsi="宋体" w:eastAsia="方正仿宋简体" w:cs="方正仿宋简体"/>
          <w:color w:val="auto"/>
          <w:highlight w:val="none"/>
        </w:rPr>
        <w:t>划要求，结合地区发展规划，加强对加油站选址的规划管理，</w:t>
      </w:r>
      <w:r>
        <w:rPr>
          <w:rFonts w:hint="eastAsia" w:ascii="宋体" w:hAnsi="宋体" w:eastAsia="方正仿宋简体" w:cs="方正仿宋简体"/>
          <w:color w:val="auto"/>
          <w:highlight w:val="none"/>
          <w:lang w:eastAsia="zh-CN"/>
        </w:rPr>
        <w:t>确保</w:t>
      </w:r>
      <w:r>
        <w:rPr>
          <w:rFonts w:hint="eastAsia" w:ascii="宋体" w:hAnsi="宋体" w:eastAsia="方正仿宋简体" w:cs="方正仿宋简体"/>
          <w:color w:val="auto"/>
          <w:highlight w:val="none"/>
        </w:rPr>
        <w:t>合理布局</w:t>
      </w:r>
      <w:r>
        <w:rPr>
          <w:rFonts w:hint="eastAsia" w:ascii="宋体" w:hAnsi="宋体" w:eastAsia="方正仿宋简体" w:cs="方正仿宋简体"/>
          <w:color w:val="auto"/>
          <w:highlight w:val="none"/>
          <w:lang w:eastAsia="zh-CN"/>
        </w:rPr>
        <w:t>。审批部门</w:t>
      </w:r>
      <w:r>
        <w:rPr>
          <w:rFonts w:hint="eastAsia" w:ascii="宋体" w:hAnsi="宋体" w:eastAsia="方正仿宋简体" w:cs="方正仿宋简体"/>
          <w:color w:val="auto"/>
          <w:highlight w:val="none"/>
        </w:rPr>
        <w:t>严格按照审批权限和程序要求，在确保土地利用总体规划相衔接的前提下，做好加油站建设用地审批管理，确保土地资源的合理利用开发。</w:t>
      </w:r>
      <w:r>
        <w:rPr>
          <w:rFonts w:hint="eastAsia" w:ascii="宋体" w:hAnsi="宋体" w:eastAsia="方正仿宋简体" w:cs="方正仿宋简体"/>
          <w:color w:val="auto"/>
          <w:highlight w:val="none"/>
          <w:lang w:eastAsia="zh-CN"/>
        </w:rPr>
        <w:t>消防部门</w:t>
      </w:r>
      <w:r>
        <w:rPr>
          <w:rFonts w:hint="eastAsia" w:ascii="宋体" w:hAnsi="宋体" w:eastAsia="方正仿宋简体" w:cs="方正仿宋简体"/>
          <w:color w:val="auto"/>
          <w:highlight w:val="none"/>
        </w:rPr>
        <w:t>负责指导和协调新建、改建、扩建加油站的消防设计审核、验收，依法实施消防监督和安全检査，对加油站的防火安全工作进行指导</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安全生产</w:t>
      </w:r>
      <w:r>
        <w:rPr>
          <w:rFonts w:hint="eastAsia" w:ascii="宋体" w:hAnsi="宋体" w:eastAsia="方正仿宋简体" w:cs="方正仿宋简体"/>
          <w:color w:val="auto"/>
          <w:highlight w:val="none"/>
          <w:lang w:eastAsia="zh-CN"/>
        </w:rPr>
        <w:t>部门</w:t>
      </w:r>
      <w:r>
        <w:rPr>
          <w:rFonts w:hint="eastAsia" w:ascii="宋体" w:hAnsi="宋体" w:eastAsia="方正仿宋简体" w:cs="方正仿宋简体"/>
          <w:color w:val="auto"/>
          <w:highlight w:val="none"/>
        </w:rPr>
        <w:t>负责对新、改、扩建加油站安全设施</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三同时</w:t>
      </w:r>
      <w:r>
        <w:rPr>
          <w:rFonts w:hint="eastAsia" w:ascii="宋体" w:hAnsi="宋体" w:eastAsia="方正仿宋简体" w:cs="方正仿宋简体"/>
          <w:color w:val="auto"/>
          <w:highlight w:val="none"/>
          <w:lang w:eastAsia="zh-CN"/>
        </w:rPr>
        <w:t>”</w:t>
      </w:r>
      <w:r>
        <w:rPr>
          <w:rFonts w:hint="eastAsia" w:ascii="宋体" w:hAnsi="宋体" w:eastAsia="方正仿宋简体" w:cs="方正仿宋简体"/>
          <w:color w:val="auto"/>
          <w:highlight w:val="none"/>
        </w:rPr>
        <w:t>进行监督管理，并对建设完工经验收合格的加油站按程序颁发《危险化学品经营许可证》</w:t>
      </w:r>
      <w:r>
        <w:rPr>
          <w:rFonts w:hint="eastAsia" w:ascii="宋体" w:hAnsi="宋体" w:eastAsia="方正仿宋简体" w:cs="方正仿宋简体"/>
          <w:color w:val="auto"/>
          <w:highlight w:val="none"/>
          <w:lang w:eastAsia="zh-CN"/>
        </w:rPr>
        <w:t>。</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28" w:name="_Toc9147"/>
      <w:r>
        <w:rPr>
          <w:rFonts w:hint="eastAsia" w:ascii="宋体" w:hAnsi="宋体" w:cs="Times New Roman"/>
          <w:b w:val="0"/>
          <w:bCs w:val="0"/>
          <w:color w:val="auto"/>
          <w:highlight w:val="none"/>
          <w:lang w:val="en-US" w:eastAsia="zh-CN"/>
        </w:rPr>
        <w:t xml:space="preserve">第二节 </w:t>
      </w:r>
      <w:r>
        <w:rPr>
          <w:rFonts w:hint="default" w:ascii="宋体" w:hAnsi="宋体" w:cs="Times New Roman"/>
          <w:b w:val="0"/>
          <w:bCs w:val="0"/>
          <w:color w:val="auto"/>
          <w:highlight w:val="none"/>
          <w:lang w:val="en-US" w:eastAsia="zh-CN"/>
        </w:rPr>
        <w:t>强化宣传引导，加大推进力度</w:t>
      </w:r>
      <w:bookmarkEnd w:id="28"/>
    </w:p>
    <w:p>
      <w:pPr>
        <w:bidi w:val="0"/>
        <w:rPr>
          <w:rFonts w:hint="default" w:ascii="宋体" w:hAnsi="宋体" w:eastAsia="方正仿宋简体" w:cs="方正仿宋简体"/>
          <w:color w:val="auto"/>
          <w:highlight w:val="none"/>
        </w:rPr>
      </w:pPr>
      <w:r>
        <w:rPr>
          <w:rFonts w:hint="default" w:ascii="宋体" w:hAnsi="宋体" w:eastAsia="方正仿宋简体" w:cs="方正仿宋简体"/>
          <w:color w:val="auto"/>
          <w:highlight w:val="none"/>
        </w:rPr>
        <w:t>通过宣讲、座谈会、图片展、理论学习等多种宣传方式</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加强对规划的宣传力度，让</w:t>
      </w:r>
      <w:r>
        <w:rPr>
          <w:rFonts w:hint="eastAsia" w:ascii="宋体" w:hAnsi="宋体" w:eastAsia="方正仿宋简体" w:cs="方正仿宋简体"/>
          <w:color w:val="auto"/>
          <w:highlight w:val="none"/>
          <w:lang w:eastAsia="zh-CN"/>
        </w:rPr>
        <w:t>相关行业及从业人员</w:t>
      </w:r>
      <w:r>
        <w:rPr>
          <w:rFonts w:hint="default" w:ascii="宋体" w:hAnsi="宋体" w:eastAsia="方正仿宋简体" w:cs="方正仿宋简体"/>
          <w:color w:val="auto"/>
          <w:highlight w:val="none"/>
        </w:rPr>
        <w:t>明确</w:t>
      </w:r>
      <w:r>
        <w:rPr>
          <w:rFonts w:hint="eastAsia" w:ascii="宋体" w:hAnsi="宋体" w:eastAsia="方正仿宋简体" w:cs="方正仿宋简体"/>
          <w:color w:val="auto"/>
          <w:highlight w:val="none"/>
          <w:lang w:eastAsia="zh-CN"/>
        </w:rPr>
        <w:t>师市</w:t>
      </w:r>
      <w:r>
        <w:rPr>
          <w:rFonts w:hint="default" w:ascii="宋体" w:hAnsi="宋体" w:eastAsia="方正仿宋简体" w:cs="方正仿宋简体"/>
          <w:color w:val="auto"/>
          <w:highlight w:val="none"/>
        </w:rPr>
        <w:t>未来五年的发展任务和发展目标，形成共同的愿景</w:t>
      </w:r>
      <w:r>
        <w:rPr>
          <w:rFonts w:hint="eastAsia" w:ascii="宋体" w:hAnsi="宋体" w:eastAsia="方正仿宋简体" w:cs="方正仿宋简体"/>
          <w:color w:val="auto"/>
          <w:highlight w:val="none"/>
          <w:lang w:eastAsia="zh-CN"/>
        </w:rPr>
        <w:t>，同时</w:t>
      </w:r>
      <w:r>
        <w:rPr>
          <w:rFonts w:hint="default" w:ascii="宋体" w:hAnsi="宋体" w:eastAsia="方正仿宋简体" w:cs="方正仿宋简体"/>
          <w:color w:val="auto"/>
          <w:highlight w:val="none"/>
        </w:rPr>
        <w:t>采取多种手段，提高</w:t>
      </w:r>
      <w:r>
        <w:rPr>
          <w:rFonts w:hint="eastAsia" w:ascii="宋体" w:hAnsi="宋体" w:eastAsia="方正仿宋简体" w:cs="方正仿宋简体"/>
          <w:color w:val="auto"/>
          <w:highlight w:val="none"/>
          <w:lang w:eastAsia="zh-CN"/>
        </w:rPr>
        <w:t>相关部门及</w:t>
      </w:r>
      <w:r>
        <w:rPr>
          <w:rFonts w:hint="default" w:ascii="宋体" w:hAnsi="宋体" w:eastAsia="方正仿宋简体" w:cs="方正仿宋简体"/>
          <w:color w:val="auto"/>
          <w:highlight w:val="none"/>
        </w:rPr>
        <w:t>管理人员对贯彻实施规划的责任感</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通过对规划的广泛宣传和规划批准后的公告，</w:t>
      </w:r>
      <w:r>
        <w:rPr>
          <w:rFonts w:hint="eastAsia" w:ascii="宋体" w:hAnsi="宋体" w:eastAsia="方正仿宋简体" w:cs="方正仿宋简体"/>
          <w:color w:val="auto"/>
          <w:highlight w:val="none"/>
          <w:lang w:eastAsia="zh-CN"/>
        </w:rPr>
        <w:t>进一步</w:t>
      </w:r>
      <w:r>
        <w:rPr>
          <w:rFonts w:hint="default" w:ascii="宋体" w:hAnsi="宋体" w:eastAsia="方正仿宋简体" w:cs="方正仿宋简体"/>
          <w:color w:val="auto"/>
          <w:highlight w:val="none"/>
        </w:rPr>
        <w:t>增进对规划的了解</w:t>
      </w:r>
      <w:r>
        <w:rPr>
          <w:rFonts w:hint="eastAsia" w:ascii="宋体" w:hAnsi="宋体" w:eastAsia="方正仿宋简体" w:cs="方正仿宋简体"/>
          <w:color w:val="auto"/>
          <w:highlight w:val="none"/>
          <w:lang w:eastAsia="zh-CN"/>
        </w:rPr>
        <w:t>和落实</w:t>
      </w:r>
      <w:r>
        <w:rPr>
          <w:rFonts w:hint="default" w:ascii="宋体" w:hAnsi="宋体" w:eastAsia="方正仿宋简体" w:cs="方正仿宋简体"/>
          <w:color w:val="auto"/>
          <w:highlight w:val="none"/>
        </w:rPr>
        <w:t>。</w:t>
      </w:r>
    </w:p>
    <w:p>
      <w:pPr>
        <w:bidi w:val="0"/>
        <w:rPr>
          <w:rFonts w:hint="default" w:ascii="宋体" w:hAnsi="宋体" w:eastAsia="方正仿宋简体" w:cs="方正仿宋简体"/>
          <w:color w:val="auto"/>
          <w:highlight w:val="none"/>
        </w:rPr>
      </w:pPr>
      <w:r>
        <w:rPr>
          <w:rFonts w:hint="default" w:ascii="宋体" w:hAnsi="宋体" w:eastAsia="方正仿宋简体" w:cs="方正仿宋简体"/>
          <w:color w:val="auto"/>
          <w:highlight w:val="none"/>
        </w:rPr>
        <w:t>根据不同层面，明确不同的宣传重点。</w:t>
      </w:r>
      <w:r>
        <w:rPr>
          <w:rFonts w:hint="eastAsia" w:ascii="宋体" w:hAnsi="宋体" w:eastAsia="方正仿宋简体" w:cs="方正仿宋简体"/>
          <w:color w:val="auto"/>
          <w:highlight w:val="none"/>
          <w:lang w:eastAsia="zh-CN"/>
        </w:rPr>
        <w:t>师市</w:t>
      </w:r>
      <w:r>
        <w:rPr>
          <w:rFonts w:hint="default" w:ascii="宋体" w:hAnsi="宋体" w:eastAsia="方正仿宋简体" w:cs="方正仿宋简体"/>
          <w:color w:val="auto"/>
          <w:highlight w:val="none"/>
        </w:rPr>
        <w:t>层面：根据</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十</w:t>
      </w:r>
      <w:r>
        <w:rPr>
          <w:rFonts w:hint="default" w:ascii="宋体" w:hAnsi="宋体" w:eastAsia="方正仿宋简体" w:cs="方正仿宋简体"/>
          <w:color w:val="auto"/>
          <w:highlight w:val="none"/>
          <w:lang w:val="en-US" w:eastAsia="zh-CN"/>
        </w:rPr>
        <w:t>四</w:t>
      </w:r>
      <w:r>
        <w:rPr>
          <w:rFonts w:hint="default" w:ascii="宋体" w:hAnsi="宋体" w:eastAsia="方正仿宋简体" w:cs="方正仿宋简体"/>
          <w:color w:val="auto"/>
          <w:highlight w:val="none"/>
        </w:rPr>
        <w:t>五</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发展目标，从宏观上给予支持和指导；广泛听取意见，充分发挥民主，集思广益，提高决策的科学性和民主性；</w:t>
      </w:r>
      <w:r>
        <w:rPr>
          <w:rFonts w:hint="eastAsia" w:ascii="宋体" w:hAnsi="宋体" w:eastAsia="方正仿宋简体" w:cs="方正仿宋简体"/>
          <w:color w:val="auto"/>
          <w:highlight w:val="none"/>
          <w:lang w:eastAsia="zh-CN"/>
        </w:rPr>
        <w:t>团（镇）</w:t>
      </w:r>
      <w:r>
        <w:rPr>
          <w:rFonts w:hint="default" w:ascii="宋体" w:hAnsi="宋体" w:eastAsia="方正仿宋简体" w:cs="方正仿宋简体"/>
          <w:color w:val="auto"/>
          <w:highlight w:val="none"/>
        </w:rPr>
        <w:t>层面：明确规划任务安排，将</w:t>
      </w:r>
      <w:r>
        <w:rPr>
          <w:rFonts w:hint="eastAsia" w:ascii="宋体" w:hAnsi="宋体" w:eastAsia="方正仿宋简体" w:cs="方正仿宋简体"/>
          <w:color w:val="auto"/>
          <w:highlight w:val="none"/>
          <w:lang w:eastAsia="zh-CN"/>
        </w:rPr>
        <w:t>师市</w:t>
      </w:r>
      <w:r>
        <w:rPr>
          <w:rFonts w:hint="default" w:ascii="宋体" w:hAnsi="宋体" w:eastAsia="方正仿宋简体" w:cs="方正仿宋简体"/>
          <w:color w:val="auto"/>
          <w:highlight w:val="none"/>
        </w:rPr>
        <w:t>领导的精神准确传达给</w:t>
      </w:r>
      <w:r>
        <w:rPr>
          <w:rFonts w:hint="eastAsia" w:ascii="宋体" w:hAnsi="宋体" w:eastAsia="方正仿宋简体" w:cs="方正仿宋简体"/>
          <w:color w:val="auto"/>
          <w:highlight w:val="none"/>
          <w:lang w:eastAsia="zh-CN"/>
        </w:rPr>
        <w:t>各级部门</w:t>
      </w:r>
      <w:r>
        <w:rPr>
          <w:rFonts w:hint="default" w:ascii="宋体" w:hAnsi="宋体" w:eastAsia="方正仿宋简体" w:cs="方正仿宋简体"/>
          <w:color w:val="auto"/>
          <w:highlight w:val="none"/>
        </w:rPr>
        <w:t>，合理布置任务及完成节点，营造轻松、向上的工作氛围；</w:t>
      </w:r>
      <w:r>
        <w:rPr>
          <w:rFonts w:hint="eastAsia" w:ascii="宋体" w:hAnsi="宋体" w:eastAsia="方正仿宋简体" w:cs="方正仿宋简体"/>
          <w:color w:val="auto"/>
          <w:highlight w:val="none"/>
          <w:lang w:eastAsia="zh-CN"/>
        </w:rPr>
        <w:t>企业</w:t>
      </w:r>
      <w:r>
        <w:rPr>
          <w:rFonts w:hint="default" w:ascii="宋体" w:hAnsi="宋体" w:eastAsia="方正仿宋简体" w:cs="方正仿宋简体"/>
          <w:color w:val="auto"/>
          <w:highlight w:val="none"/>
        </w:rPr>
        <w:t>层面：</w:t>
      </w:r>
      <w:r>
        <w:rPr>
          <w:rFonts w:hint="eastAsia" w:ascii="宋体" w:hAnsi="宋体" w:eastAsia="方正仿宋简体" w:cs="方正仿宋简体"/>
          <w:color w:val="auto"/>
          <w:highlight w:val="none"/>
          <w:lang w:eastAsia="zh-CN"/>
        </w:rPr>
        <w:t>掌握、</w:t>
      </w:r>
      <w:r>
        <w:rPr>
          <w:rFonts w:hint="default" w:ascii="宋体" w:hAnsi="宋体" w:eastAsia="方正仿宋简体" w:cs="方正仿宋简体"/>
          <w:color w:val="auto"/>
          <w:highlight w:val="none"/>
        </w:rPr>
        <w:t>了解</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十</w:t>
      </w:r>
      <w:r>
        <w:rPr>
          <w:rFonts w:hint="default" w:ascii="宋体" w:hAnsi="宋体" w:eastAsia="方正仿宋简体" w:cs="方正仿宋简体"/>
          <w:color w:val="auto"/>
          <w:highlight w:val="none"/>
          <w:lang w:val="en-US" w:eastAsia="zh-CN"/>
        </w:rPr>
        <w:t>四</w:t>
      </w:r>
      <w:r>
        <w:rPr>
          <w:rFonts w:hint="default" w:ascii="宋体" w:hAnsi="宋体" w:eastAsia="方正仿宋简体" w:cs="方正仿宋简体"/>
          <w:color w:val="auto"/>
          <w:highlight w:val="none"/>
        </w:rPr>
        <w:t>五</w:t>
      </w:r>
      <w:r>
        <w:rPr>
          <w:rFonts w:hint="eastAsia" w:ascii="宋体" w:hAnsi="宋体" w:eastAsia="方正仿宋简体" w:cs="方正仿宋简体"/>
          <w:color w:val="auto"/>
          <w:highlight w:val="none"/>
          <w:lang w:eastAsia="zh-CN"/>
        </w:rPr>
        <w:t>”成品油规划</w:t>
      </w:r>
      <w:r>
        <w:rPr>
          <w:rFonts w:hint="default" w:ascii="宋体" w:hAnsi="宋体" w:eastAsia="方正仿宋简体" w:cs="方正仿宋简体"/>
          <w:color w:val="auto"/>
          <w:highlight w:val="none"/>
        </w:rPr>
        <w:t>，将</w:t>
      </w:r>
      <w:r>
        <w:rPr>
          <w:rFonts w:hint="eastAsia" w:ascii="宋体" w:hAnsi="宋体" w:eastAsia="方正仿宋简体" w:cs="方正仿宋简体"/>
          <w:color w:val="auto"/>
          <w:highlight w:val="none"/>
          <w:lang w:eastAsia="zh-CN"/>
        </w:rPr>
        <w:t>规划</w:t>
      </w:r>
      <w:r>
        <w:rPr>
          <w:rFonts w:hint="default" w:ascii="宋体" w:hAnsi="宋体" w:eastAsia="方正仿宋简体" w:cs="方正仿宋简体"/>
          <w:color w:val="auto"/>
          <w:highlight w:val="none"/>
        </w:rPr>
        <w:t>目标落到工作实处，根据</w:t>
      </w:r>
      <w:r>
        <w:rPr>
          <w:rFonts w:hint="eastAsia" w:ascii="宋体" w:hAnsi="宋体" w:eastAsia="方正仿宋简体" w:cs="方正仿宋简体"/>
          <w:color w:val="auto"/>
          <w:highlight w:val="none"/>
          <w:lang w:eastAsia="zh-CN"/>
        </w:rPr>
        <w:t>企业性质及企业愿景，积极参与相关规划加油站网点投资建设</w:t>
      </w:r>
      <w:r>
        <w:rPr>
          <w:rFonts w:hint="default" w:ascii="宋体" w:hAnsi="宋体" w:eastAsia="方正仿宋简体" w:cs="方正仿宋简体"/>
          <w:color w:val="auto"/>
          <w:highlight w:val="none"/>
        </w:rPr>
        <w:t>。</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29" w:name="_Toc27773"/>
      <w:r>
        <w:rPr>
          <w:rFonts w:hint="eastAsia" w:ascii="宋体" w:hAnsi="宋体" w:cs="Times New Roman"/>
          <w:b w:val="0"/>
          <w:bCs w:val="0"/>
          <w:color w:val="auto"/>
          <w:highlight w:val="none"/>
          <w:lang w:val="en-US" w:eastAsia="zh-CN"/>
        </w:rPr>
        <w:t xml:space="preserve">第三节 </w:t>
      </w:r>
      <w:r>
        <w:rPr>
          <w:rFonts w:hint="default" w:ascii="宋体" w:hAnsi="宋体" w:cs="Times New Roman"/>
          <w:b w:val="0"/>
          <w:bCs w:val="0"/>
          <w:color w:val="auto"/>
          <w:highlight w:val="none"/>
          <w:lang w:val="en-US" w:eastAsia="zh-CN"/>
        </w:rPr>
        <w:t>加强审批管理，严格市场准入</w:t>
      </w:r>
      <w:bookmarkEnd w:id="29"/>
    </w:p>
    <w:p>
      <w:pPr>
        <w:bidi w:val="0"/>
        <w:rPr>
          <w:rFonts w:hint="default" w:ascii="宋体" w:hAnsi="宋体" w:eastAsia="方正仿宋简体" w:cs="方正仿宋简体"/>
          <w:color w:val="auto"/>
          <w:highlight w:val="none"/>
          <w:lang w:eastAsia="zh-CN"/>
        </w:rPr>
      </w:pPr>
      <w:r>
        <w:rPr>
          <w:rFonts w:hint="default" w:ascii="宋体" w:hAnsi="宋体" w:eastAsia="方正仿宋简体" w:cs="方正仿宋简体"/>
          <w:color w:val="auto"/>
          <w:highlight w:val="none"/>
          <w:lang w:eastAsia="zh-CN"/>
        </w:rPr>
        <w:t>根据本规划，依照国家及兵团相关文件有关要求，进行新建、改扩建和迁建加油站的申报、审批</w:t>
      </w:r>
      <w:r>
        <w:rPr>
          <w:rFonts w:hint="eastAsia" w:ascii="宋体" w:hAnsi="宋体" w:eastAsia="方正仿宋简体" w:cs="方正仿宋简体"/>
          <w:color w:val="auto"/>
          <w:highlight w:val="none"/>
          <w:lang w:eastAsia="zh-CN"/>
        </w:rPr>
        <w:t>管理</w:t>
      </w:r>
      <w:r>
        <w:rPr>
          <w:rFonts w:hint="default" w:ascii="宋体" w:hAnsi="宋体" w:eastAsia="方正仿宋简体" w:cs="方正仿宋简体"/>
          <w:color w:val="auto"/>
          <w:highlight w:val="none"/>
          <w:lang w:eastAsia="zh-CN"/>
        </w:rPr>
        <w:t>。成品油</w:t>
      </w:r>
      <w:r>
        <w:rPr>
          <w:rFonts w:hint="eastAsia" w:ascii="宋体" w:hAnsi="宋体" w:eastAsia="方正仿宋简体" w:cs="方正仿宋简体"/>
          <w:color w:val="auto"/>
          <w:highlight w:val="none"/>
          <w:lang w:eastAsia="zh-CN"/>
        </w:rPr>
        <w:t>零售企业申请规划加油站网点投资建设时，</w:t>
      </w:r>
      <w:r>
        <w:rPr>
          <w:rFonts w:hint="default" w:ascii="宋体" w:hAnsi="宋体" w:eastAsia="方正仿宋简体" w:cs="方正仿宋简体"/>
          <w:color w:val="auto"/>
          <w:highlight w:val="none"/>
          <w:lang w:eastAsia="zh-CN"/>
        </w:rPr>
        <w:t>不得强制附加条件。</w:t>
      </w:r>
    </w:p>
    <w:p>
      <w:pPr>
        <w:bidi w:val="0"/>
        <w:rPr>
          <w:rFonts w:hint="eastAsia" w:ascii="宋体" w:hAnsi="宋体" w:eastAsia="方正仿宋简体" w:cs="方正仿宋简体"/>
          <w:color w:val="auto"/>
          <w:highlight w:val="none"/>
          <w:lang w:eastAsia="zh-CN"/>
        </w:rPr>
      </w:pPr>
      <w:r>
        <w:rPr>
          <w:rFonts w:hint="default" w:ascii="宋体" w:hAnsi="宋体" w:eastAsia="方正仿宋简体" w:cs="方正仿宋简体"/>
          <w:color w:val="auto"/>
          <w:highlight w:val="none"/>
          <w:lang w:eastAsia="zh-CN"/>
        </w:rPr>
        <w:t>加油站建设</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lang w:eastAsia="zh-CN"/>
        </w:rPr>
        <w:t>新建、迁建</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lang w:eastAsia="zh-CN"/>
        </w:rPr>
        <w:t>须通过符合</w:t>
      </w:r>
      <w:r>
        <w:rPr>
          <w:rFonts w:hint="eastAsia" w:ascii="宋体" w:hAnsi="宋体" w:eastAsia="方正仿宋简体" w:cs="方正仿宋简体"/>
          <w:color w:val="auto"/>
          <w:highlight w:val="none"/>
          <w:lang w:eastAsia="zh-CN"/>
        </w:rPr>
        <w:t>师市</w:t>
      </w:r>
      <w:r>
        <w:rPr>
          <w:rFonts w:hint="default" w:ascii="宋体" w:hAnsi="宋体" w:eastAsia="方正仿宋简体" w:cs="方正仿宋简体"/>
          <w:color w:val="auto"/>
          <w:highlight w:val="none"/>
          <w:lang w:eastAsia="zh-CN"/>
        </w:rPr>
        <w:t>成品油零售体系发展规划的确认程序</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lang w:eastAsia="zh-CN"/>
        </w:rPr>
        <w:t>收费公路服务区加油站参照自治区国</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lang w:eastAsia="zh-CN"/>
        </w:rPr>
        <w:t>省</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lang w:eastAsia="zh-CN"/>
        </w:rPr>
        <w:t>干线收费公路服务区建设规划办理规划确认手续。</w:t>
      </w:r>
      <w:r>
        <w:rPr>
          <w:rFonts w:hint="eastAsia" w:ascii="宋体" w:hAnsi="宋体" w:eastAsia="方正仿宋简体" w:cs="方正仿宋简体"/>
          <w:color w:val="auto"/>
          <w:highlight w:val="none"/>
          <w:lang w:eastAsia="zh-CN"/>
        </w:rPr>
        <w:t>申请加油站建设规划确认的企业，向审批部门提出申请，经审批部门审核，对符合规划且具备建设条件的，经公示（不少于5个工作日）无异议后，下达规划确认文件。</w:t>
      </w:r>
    </w:p>
    <w:p>
      <w:pPr>
        <w:bidi w:val="0"/>
        <w:rPr>
          <w:rFonts w:hint="eastAsia" w:ascii="宋体" w:hAnsi="宋体" w:eastAsia="方正仿宋简体" w:cs="方正仿宋简体"/>
          <w:color w:val="auto"/>
          <w:highlight w:val="none"/>
          <w:lang w:eastAsia="zh-CN"/>
        </w:rPr>
      </w:pPr>
      <w:r>
        <w:rPr>
          <w:rFonts w:hint="eastAsia" w:ascii="宋体" w:hAnsi="宋体" w:eastAsia="方正仿宋简体" w:cs="方正仿宋简体"/>
          <w:color w:val="auto"/>
          <w:highlight w:val="none"/>
          <w:lang w:eastAsia="zh-CN"/>
        </w:rPr>
        <w:t>不在规划内或不符合加油站间距设置要求的地块，不予下达审批确认文件。未经审批部门批准，擅自调整规划网点或不按规划点位建设的，不得办理各项审</w:t>
      </w:r>
      <w:r>
        <w:rPr>
          <w:rFonts w:hint="default" w:ascii="宋体" w:hAnsi="宋体" w:eastAsia="方正仿宋简体" w:cs="方正仿宋简体"/>
          <w:color w:val="auto"/>
          <w:highlight w:val="none"/>
        </w:rPr>
        <w:t>批手续</w:t>
      </w:r>
      <w:r>
        <w:rPr>
          <w:rFonts w:hint="eastAsia" w:ascii="宋体" w:hAnsi="宋体" w:eastAsia="方正仿宋简体" w:cs="方正仿宋简体"/>
          <w:color w:val="auto"/>
          <w:highlight w:val="none"/>
          <w:lang w:eastAsia="zh-CN"/>
        </w:rPr>
        <w:t>。</w:t>
      </w:r>
    </w:p>
    <w:p>
      <w:pPr>
        <w:bidi w:val="0"/>
        <w:rPr>
          <w:rFonts w:hint="default" w:ascii="宋体" w:hAnsi="宋体" w:eastAsia="方正仿宋简体" w:cs="方正仿宋简体"/>
          <w:color w:val="auto"/>
          <w:highlight w:val="none"/>
        </w:rPr>
      </w:pPr>
      <w:r>
        <w:rPr>
          <w:rFonts w:hint="default" w:ascii="宋体" w:hAnsi="宋体" w:eastAsia="方正仿宋简体" w:cs="方正仿宋简体"/>
          <w:color w:val="auto"/>
          <w:highlight w:val="none"/>
          <w:lang w:eastAsia="zh-CN"/>
        </w:rPr>
        <w:t>企业合法取得土地后，向</w:t>
      </w:r>
      <w:r>
        <w:rPr>
          <w:rFonts w:hint="eastAsia" w:ascii="宋体" w:hAnsi="宋体" w:eastAsia="方正仿宋简体" w:cs="方正仿宋简体"/>
          <w:color w:val="auto"/>
          <w:highlight w:val="none"/>
          <w:lang w:eastAsia="zh-CN"/>
        </w:rPr>
        <w:t>师市商务局</w:t>
      </w:r>
      <w:r>
        <w:rPr>
          <w:rFonts w:hint="default" w:ascii="宋体" w:hAnsi="宋体" w:eastAsia="方正仿宋简体" w:cs="方正仿宋简体"/>
          <w:color w:val="auto"/>
          <w:highlight w:val="none"/>
          <w:lang w:eastAsia="zh-CN"/>
        </w:rPr>
        <w:t>提出书面申请，并提交</w:t>
      </w:r>
      <w:r>
        <w:rPr>
          <w:rFonts w:hint="eastAsia" w:ascii="宋体" w:hAnsi="宋体" w:eastAsia="方正仿宋简体" w:cs="方正仿宋简体"/>
          <w:color w:val="auto"/>
          <w:highlight w:val="none"/>
          <w:lang w:eastAsia="zh-CN"/>
        </w:rPr>
        <w:t>审批</w:t>
      </w:r>
      <w:r>
        <w:rPr>
          <w:rFonts w:hint="default" w:ascii="宋体" w:hAnsi="宋体" w:eastAsia="方正仿宋简体" w:cs="方正仿宋简体"/>
          <w:color w:val="auto"/>
          <w:highlight w:val="none"/>
          <w:lang w:eastAsia="zh-CN"/>
        </w:rPr>
        <w:t>确认所需申请材料</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取得加油站建设规划确认文件的企业</w:t>
      </w:r>
      <w:r>
        <w:rPr>
          <w:rFonts w:hint="eastAsia" w:ascii="宋体" w:hAnsi="宋体" w:eastAsia="方正仿宋简体" w:cs="方正仿宋简体"/>
          <w:color w:val="auto"/>
          <w:highlight w:val="none"/>
          <w:lang w:eastAsia="zh-CN"/>
        </w:rPr>
        <w:t>，</w:t>
      </w:r>
      <w:r>
        <w:rPr>
          <w:rFonts w:hint="default" w:ascii="宋体" w:hAnsi="宋体" w:eastAsia="方正仿宋简体" w:cs="方正仿宋简体"/>
          <w:color w:val="auto"/>
          <w:highlight w:val="none"/>
        </w:rPr>
        <w:t>到相关部门办理建设手续</w:t>
      </w:r>
      <w:r>
        <w:rPr>
          <w:rFonts w:hint="eastAsia" w:ascii="宋体" w:hAnsi="宋体" w:eastAsia="方正仿宋简体" w:cs="方正仿宋简体"/>
          <w:color w:val="auto"/>
          <w:highlight w:val="none"/>
          <w:lang w:eastAsia="zh-CN"/>
        </w:rPr>
        <w:t>方可开工建设。</w:t>
      </w:r>
    </w:p>
    <w:p>
      <w:pPr>
        <w:bidi w:val="0"/>
        <w:rPr>
          <w:rFonts w:hint="default" w:ascii="宋体" w:hAnsi="宋体" w:eastAsia="方正仿宋简体" w:cs="方正仿宋简体"/>
          <w:color w:val="auto"/>
          <w:highlight w:val="none"/>
        </w:rPr>
      </w:pPr>
      <w:r>
        <w:rPr>
          <w:rFonts w:hint="default" w:ascii="宋体" w:hAnsi="宋体" w:eastAsia="方正仿宋简体" w:cs="方正仿宋简体"/>
          <w:color w:val="auto"/>
          <w:highlight w:val="none"/>
        </w:rPr>
        <w:t>加油站设计、施工应符合相应国家标准，并通过</w:t>
      </w:r>
      <w:r>
        <w:rPr>
          <w:rFonts w:hint="eastAsia" w:ascii="宋体" w:hAnsi="宋体" w:eastAsia="方正仿宋简体" w:cs="方正仿宋简体"/>
          <w:color w:val="auto"/>
          <w:highlight w:val="none"/>
          <w:lang w:eastAsia="zh-CN"/>
        </w:rPr>
        <w:t>自然资源和规划局</w:t>
      </w:r>
      <w:r>
        <w:rPr>
          <w:rFonts w:hint="default" w:ascii="宋体" w:hAnsi="宋体" w:eastAsia="方正仿宋简体" w:cs="方正仿宋简体"/>
          <w:color w:val="auto"/>
          <w:highlight w:val="none"/>
        </w:rPr>
        <w:t>、</w:t>
      </w:r>
      <w:r>
        <w:rPr>
          <w:rFonts w:hint="eastAsia" w:ascii="宋体" w:hAnsi="宋体" w:eastAsia="方正仿宋简体" w:cs="方正仿宋简体"/>
          <w:color w:val="auto"/>
          <w:highlight w:val="none"/>
          <w:lang w:eastAsia="zh-CN"/>
        </w:rPr>
        <w:t>应急管理局、环保局、市场监督管理局</w:t>
      </w:r>
      <w:r>
        <w:rPr>
          <w:rFonts w:hint="default" w:ascii="宋体" w:hAnsi="宋体" w:eastAsia="方正仿宋简体" w:cs="方正仿宋简体"/>
          <w:color w:val="auto"/>
          <w:highlight w:val="none"/>
        </w:rPr>
        <w:t>等部门验收，取得相应批准证书及验收合格文件。</w:t>
      </w:r>
      <w:r>
        <w:rPr>
          <w:rFonts w:hint="eastAsia" w:ascii="宋体" w:hAnsi="宋体" w:eastAsia="方正仿宋简体" w:cs="方正仿宋简体"/>
          <w:color w:val="auto"/>
          <w:highlight w:val="none"/>
        </w:rPr>
        <w:t>由企业向师市商务局</w:t>
      </w:r>
      <w:r>
        <w:rPr>
          <w:rFonts w:hint="default" w:ascii="宋体" w:hAnsi="宋体" w:eastAsia="方正仿宋简体" w:cs="方正仿宋简体"/>
          <w:color w:val="auto"/>
          <w:highlight w:val="none"/>
        </w:rPr>
        <w:t>提出书面申请，并提交所需申请材料</w:t>
      </w:r>
      <w:r>
        <w:rPr>
          <w:rFonts w:hint="eastAsia" w:ascii="宋体" w:hAnsi="宋体" w:eastAsia="方正仿宋简体" w:cs="方正仿宋简体"/>
          <w:color w:val="auto"/>
          <w:highlight w:val="none"/>
        </w:rPr>
        <w:t>。符合要求的，由师市商务局</w:t>
      </w:r>
      <w:r>
        <w:rPr>
          <w:rFonts w:hint="default" w:ascii="宋体" w:hAnsi="宋体" w:eastAsia="方正仿宋简体" w:cs="方正仿宋简体"/>
          <w:color w:val="auto"/>
          <w:highlight w:val="none"/>
        </w:rPr>
        <w:t>核发《成品油零售经营批准证书》</w:t>
      </w:r>
      <w:r>
        <w:rPr>
          <w:rFonts w:hint="eastAsia" w:ascii="宋体" w:hAnsi="宋体" w:eastAsia="方正仿宋简体" w:cs="方正仿宋简体"/>
          <w:color w:val="auto"/>
          <w:highlight w:val="none"/>
        </w:rPr>
        <w:t>。</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支持具有稳定油源和相应规模的经营企业进入</w:t>
      </w:r>
      <w:r>
        <w:rPr>
          <w:rFonts w:hint="eastAsia" w:ascii="宋体" w:hAnsi="宋体" w:eastAsia="方正仿宋简体" w:cs="方正仿宋简体"/>
          <w:color w:val="auto"/>
          <w:highlight w:val="none"/>
          <w:lang w:val="en-US" w:eastAsia="zh-CN"/>
        </w:rPr>
        <w:t>师市</w:t>
      </w:r>
      <w:r>
        <w:rPr>
          <w:rFonts w:hint="default" w:ascii="宋体" w:hAnsi="宋体" w:eastAsia="方正仿宋简体" w:cs="方正仿宋简体"/>
          <w:color w:val="auto"/>
          <w:highlight w:val="none"/>
          <w:lang w:val="en-US" w:eastAsia="zh-CN"/>
        </w:rPr>
        <w:t>成品油行业，切实</w:t>
      </w:r>
      <w:r>
        <w:rPr>
          <w:rFonts w:hint="eastAsia" w:ascii="宋体" w:hAnsi="宋体" w:eastAsia="方正仿宋简体" w:cs="方正仿宋简体"/>
          <w:color w:val="auto"/>
          <w:highlight w:val="none"/>
          <w:lang w:val="en-US" w:eastAsia="zh-CN"/>
        </w:rPr>
        <w:t>提高并</w:t>
      </w:r>
      <w:r>
        <w:rPr>
          <w:rFonts w:hint="default" w:ascii="宋体" w:hAnsi="宋体" w:eastAsia="方正仿宋简体" w:cs="方正仿宋简体"/>
          <w:color w:val="auto"/>
          <w:highlight w:val="none"/>
          <w:lang w:val="en-US" w:eastAsia="zh-CN"/>
        </w:rPr>
        <w:t>保障成品油市场</w:t>
      </w:r>
      <w:r>
        <w:rPr>
          <w:rFonts w:hint="eastAsia" w:ascii="宋体" w:hAnsi="宋体" w:eastAsia="方正仿宋简体" w:cs="方正仿宋简体"/>
          <w:color w:val="auto"/>
          <w:highlight w:val="none"/>
          <w:lang w:val="en-US" w:eastAsia="zh-CN"/>
        </w:rPr>
        <w:t>安全、平稳、有序</w:t>
      </w:r>
      <w:r>
        <w:rPr>
          <w:rFonts w:hint="default" w:ascii="宋体" w:hAnsi="宋体" w:eastAsia="方正仿宋简体" w:cs="方正仿宋简体"/>
          <w:color w:val="auto"/>
          <w:highlight w:val="none"/>
          <w:lang w:val="en-US" w:eastAsia="zh-CN"/>
        </w:rPr>
        <w:t>供应。严把项目审批，杜绝争指标不建设、争指标慢建设、争指标乱建设的情况，加强对已批项目的跟踪监督，督促企业加快落实建设资金，按照规范、标准完成相关项目建设，推动师市成品油市场</w:t>
      </w:r>
      <w:r>
        <w:rPr>
          <w:rFonts w:hint="eastAsia" w:ascii="宋体" w:hAnsi="宋体" w:eastAsia="方正仿宋简体" w:cs="方正仿宋简体"/>
          <w:color w:val="auto"/>
          <w:highlight w:val="none"/>
          <w:lang w:val="en-US" w:eastAsia="zh-CN"/>
        </w:rPr>
        <w:t>安全、规范运行</w:t>
      </w:r>
      <w:r>
        <w:rPr>
          <w:rFonts w:hint="default" w:ascii="宋体" w:hAnsi="宋体" w:eastAsia="方正仿宋简体" w:cs="方正仿宋简体"/>
          <w:color w:val="auto"/>
          <w:highlight w:val="none"/>
          <w:lang w:val="en-US" w:eastAsia="zh-CN"/>
        </w:rPr>
        <w:t>。</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30" w:name="_Toc24676"/>
      <w:r>
        <w:rPr>
          <w:rFonts w:hint="eastAsia" w:ascii="宋体" w:hAnsi="宋体" w:cs="Times New Roman"/>
          <w:b w:val="0"/>
          <w:bCs w:val="0"/>
          <w:color w:val="auto"/>
          <w:highlight w:val="none"/>
          <w:lang w:val="en-US" w:eastAsia="zh-CN"/>
        </w:rPr>
        <w:t xml:space="preserve">第四节 </w:t>
      </w:r>
      <w:r>
        <w:rPr>
          <w:rFonts w:hint="default" w:ascii="宋体" w:hAnsi="宋体" w:cs="Times New Roman"/>
          <w:b w:val="0"/>
          <w:bCs w:val="0"/>
          <w:color w:val="auto"/>
          <w:highlight w:val="none"/>
          <w:lang w:val="en-US" w:eastAsia="zh-CN"/>
        </w:rPr>
        <w:t>不断健全规划落实和监督机制</w:t>
      </w:r>
      <w:bookmarkEnd w:id="30"/>
    </w:p>
    <w:p>
      <w:pPr>
        <w:bidi w:val="0"/>
        <w:rPr>
          <w:rFonts w:hint="default" w:ascii="宋体" w:hAnsi="宋体" w:eastAsia="方正仿宋简体" w:cs="方正仿宋简体"/>
          <w:color w:val="auto"/>
          <w:highlight w:val="none"/>
          <w:lang w:val="en-US" w:eastAsia="zh-CN"/>
        </w:rPr>
      </w:pP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十四五</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规划</w:t>
      </w:r>
      <w:r>
        <w:rPr>
          <w:rFonts w:hint="eastAsia" w:ascii="宋体" w:hAnsi="宋体" w:eastAsia="方正仿宋简体" w:cs="方正仿宋简体"/>
          <w:color w:val="auto"/>
          <w:highlight w:val="none"/>
          <w:lang w:val="en-US" w:eastAsia="zh-CN"/>
        </w:rPr>
        <w:t>针对</w:t>
      </w:r>
      <w:r>
        <w:rPr>
          <w:rFonts w:hint="default" w:ascii="宋体" w:hAnsi="宋体" w:eastAsia="方正仿宋简体" w:cs="方正仿宋简体"/>
          <w:color w:val="auto"/>
          <w:highlight w:val="none"/>
          <w:lang w:val="en-US" w:eastAsia="zh-CN"/>
        </w:rPr>
        <w:t>师市未来五年成品油零售体系的发展方向</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发展目标</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发展重点制定实施计划。积极推进规划的实施，将总目标层层分解，落实到每一个部门和单位，并纳入年度考核体系，做到事事有人抓，层层有考核，确保</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十四五</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规划目标的实现。</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强化和完善规划实施的监督检查机制，建立相应的监督机构，适时跟踪监督规划执行情况，保证规划的严格执行。制定规划实施的配套政策措施，建立相应机构，确保规划正常实施。建立工作目标责任制，构建</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发展规划—年度计划—单位（部门）分工—检查落实—绩效考核—总结完善—规划评估</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的规划实施机制，形成完整闭环。进一步健全与师市国民经济发展相适应、满足广大消费者需求、布局合理、竞争有序、功能完善的现代化成品油分销服务网络体系。</w:t>
      </w:r>
    </w:p>
    <w:p>
      <w:pPr>
        <w:pStyle w:val="4"/>
        <w:numPr>
          <w:ilvl w:val="1"/>
          <w:numId w:val="0"/>
        </w:numPr>
        <w:bidi w:val="0"/>
        <w:ind w:left="402" w:leftChars="0"/>
        <w:jc w:val="center"/>
        <w:rPr>
          <w:rFonts w:hint="default" w:ascii="宋体" w:hAnsi="宋体" w:cs="Times New Roman"/>
          <w:b w:val="0"/>
          <w:bCs w:val="0"/>
          <w:color w:val="auto"/>
          <w:highlight w:val="none"/>
          <w:lang w:val="en-US" w:eastAsia="zh-CN"/>
        </w:rPr>
      </w:pPr>
      <w:bookmarkStart w:id="31" w:name="_Toc19672"/>
      <w:r>
        <w:rPr>
          <w:rFonts w:hint="eastAsia" w:ascii="宋体" w:hAnsi="宋体" w:cs="Times New Roman"/>
          <w:b w:val="0"/>
          <w:bCs w:val="0"/>
          <w:color w:val="auto"/>
          <w:highlight w:val="none"/>
          <w:lang w:val="en-US" w:eastAsia="zh-CN"/>
        </w:rPr>
        <w:t xml:space="preserve">第五节 </w:t>
      </w:r>
      <w:r>
        <w:rPr>
          <w:rFonts w:hint="default" w:ascii="宋体" w:hAnsi="宋体" w:cs="Times New Roman"/>
          <w:b w:val="0"/>
          <w:bCs w:val="0"/>
          <w:color w:val="auto"/>
          <w:highlight w:val="none"/>
          <w:lang w:val="en-US" w:eastAsia="zh-CN"/>
        </w:rPr>
        <w:t>健全成品油零售体系安全监管</w:t>
      </w:r>
      <w:bookmarkEnd w:id="31"/>
    </w:p>
    <w:p>
      <w:pPr>
        <w:bidi w:val="0"/>
        <w:rPr>
          <w:rFonts w:hint="eastAsia" w:ascii="宋体" w:hAnsi="宋体" w:eastAsia="楷体_GB2312" w:cs="楷体_GB2312"/>
          <w:color w:val="auto"/>
          <w:highlight w:val="none"/>
          <w:lang w:val="en-US" w:eastAsia="zh-CN"/>
        </w:rPr>
      </w:pPr>
      <w:bookmarkStart w:id="32" w:name="_Toc21758"/>
      <w:r>
        <w:rPr>
          <w:rFonts w:hint="eastAsia" w:ascii="宋体" w:hAnsi="宋体" w:eastAsia="楷体_GB2312" w:cs="楷体_GB2312"/>
          <w:color w:val="auto"/>
          <w:highlight w:val="none"/>
          <w:lang w:val="en-US" w:eastAsia="zh-CN"/>
        </w:rPr>
        <w:t>一、健全成品油贮存和零售设施安全监管</w:t>
      </w:r>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加油站等成品油贮存和零售设施属于危险化学品设施，在规划、建设和日常使用管理中必须严格执行相关法规和技术规范，加强安全防范，建立科学可靠的安全管理制度、事故预防和应急救援预案，严格源头管控，优化流程，强化服务，提高监管效率，保障加油站等成品油贮存和零售设施的安全施工与运营。</w:t>
      </w:r>
    </w:p>
    <w:p>
      <w:pPr>
        <w:bidi w:val="0"/>
        <w:rPr>
          <w:rFonts w:hint="eastAsia" w:ascii="宋体" w:hAnsi="宋体" w:eastAsia="楷体_GB2312" w:cs="楷体_GB2312"/>
          <w:color w:val="auto"/>
          <w:highlight w:val="none"/>
          <w:lang w:val="en-US" w:eastAsia="zh-CN"/>
        </w:rPr>
      </w:pPr>
      <w:r>
        <w:rPr>
          <w:rFonts w:hint="eastAsia" w:ascii="宋体" w:hAnsi="宋体" w:eastAsia="楷体_GB2312" w:cs="楷体_GB2312"/>
          <w:color w:val="auto"/>
          <w:highlight w:val="none"/>
          <w:lang w:val="en-US" w:eastAsia="zh-CN"/>
        </w:rPr>
        <w:t>二、强化安全监管责任落实</w:t>
      </w:r>
      <w:bookmarkEnd w:id="32"/>
    </w:p>
    <w:p>
      <w:pPr>
        <w:bidi w:val="0"/>
        <w:rPr>
          <w:rFonts w:hint="default"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成品油零售经营企业对本单位安全生产工作负主体责任。</w:t>
      </w:r>
      <w:r>
        <w:rPr>
          <w:rFonts w:hint="eastAsia" w:ascii="宋体" w:hAnsi="宋体" w:eastAsia="方正仿宋简体" w:cs="方正仿宋简体"/>
          <w:color w:val="auto"/>
          <w:highlight w:val="none"/>
          <w:lang w:val="en-US" w:eastAsia="zh-CN"/>
        </w:rPr>
        <w:t>师市各级</w:t>
      </w:r>
      <w:r>
        <w:rPr>
          <w:rFonts w:hint="default" w:ascii="宋体" w:hAnsi="宋体" w:eastAsia="方正仿宋简体" w:cs="方正仿宋简体"/>
          <w:color w:val="auto"/>
          <w:highlight w:val="none"/>
          <w:lang w:val="en-US" w:eastAsia="zh-CN"/>
        </w:rPr>
        <w:t>成品油经营管理职责部门要指导督促辖区成品油零售经营企业全面落实安全生产责任体系</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健全完善安全生产管理制度、风险防控机制和隐患排查治理机制</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严格执行安全生产法规标准</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不断强化安全生产防范措施</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有效提升自主管理安全生产能力水平</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牢牢守住安全底线。</w:t>
      </w:r>
    </w:p>
    <w:p>
      <w:pPr>
        <w:bidi w:val="0"/>
        <w:rPr>
          <w:rFonts w:hint="eastAsia" w:ascii="宋体" w:hAnsi="宋体" w:eastAsia="方正仿宋简体" w:cs="方正仿宋简体"/>
          <w:color w:val="auto"/>
          <w:highlight w:val="none"/>
          <w:lang w:val="en-US" w:eastAsia="zh-CN"/>
        </w:rPr>
      </w:pPr>
      <w:r>
        <w:rPr>
          <w:rFonts w:hint="default" w:ascii="宋体" w:hAnsi="宋体" w:eastAsia="方正仿宋简体" w:cs="方正仿宋简体"/>
          <w:color w:val="auto"/>
          <w:highlight w:val="none"/>
          <w:lang w:val="en-US" w:eastAsia="zh-CN"/>
        </w:rPr>
        <w:t>师市安全监管部门要进一步增强担当意识和责任意识，明晰责任，创新监管方式，加大监督检查频次，努力实现危险化学品生产、经营企业监督检查全覆盖。加大危险化学品生产、经营企业合法合规经营的监督检查力度，充分利用举报电话、社会监督等方式，及时发现并严肃查处违法违规生产经营问题，维护危险化学品安全生产良好秩序，促进危险化学品安全生产形势持续</w:t>
      </w:r>
      <w:r>
        <w:rPr>
          <w:rFonts w:hint="eastAsia" w:ascii="宋体" w:hAnsi="宋体" w:eastAsia="方正仿宋简体" w:cs="方正仿宋简体"/>
          <w:color w:val="auto"/>
          <w:highlight w:val="none"/>
          <w:lang w:val="en-US" w:eastAsia="zh-CN"/>
        </w:rPr>
        <w:t>安全</w:t>
      </w:r>
      <w:r>
        <w:rPr>
          <w:rFonts w:hint="default" w:ascii="宋体" w:hAnsi="宋体" w:eastAsia="方正仿宋简体" w:cs="方正仿宋简体"/>
          <w:color w:val="auto"/>
          <w:highlight w:val="none"/>
          <w:lang w:val="en-US" w:eastAsia="zh-CN"/>
        </w:rPr>
        <w:t>稳定</w:t>
      </w:r>
      <w:r>
        <w:rPr>
          <w:rFonts w:hint="eastAsia" w:ascii="宋体" w:hAnsi="宋体" w:eastAsia="方正仿宋简体" w:cs="方正仿宋简体"/>
          <w:color w:val="auto"/>
          <w:highlight w:val="none"/>
          <w:lang w:val="en-US" w:eastAsia="zh-CN"/>
        </w:rPr>
        <w:t>。</w:t>
      </w:r>
    </w:p>
    <w:p>
      <w:pPr>
        <w:bidi w:val="0"/>
        <w:rPr>
          <w:rFonts w:hint="default" w:ascii="宋体" w:hAnsi="宋体" w:eastAsia="楷体_GB2312" w:cs="楷体_GB2312"/>
          <w:color w:val="auto"/>
          <w:highlight w:val="none"/>
          <w:lang w:val="en-US" w:eastAsia="zh-CN"/>
        </w:rPr>
      </w:pPr>
      <w:bookmarkStart w:id="33" w:name="_Toc9849"/>
      <w:r>
        <w:rPr>
          <w:rFonts w:hint="eastAsia" w:ascii="宋体" w:hAnsi="宋体" w:eastAsia="楷体_GB2312" w:cs="楷体_GB2312"/>
          <w:color w:val="auto"/>
          <w:highlight w:val="none"/>
          <w:lang w:val="en-US" w:eastAsia="zh-CN"/>
        </w:rPr>
        <w:t>三、切实落实安全生产主体责任</w:t>
      </w:r>
      <w:bookmarkEnd w:id="33"/>
    </w:p>
    <w:p>
      <w:pPr>
        <w:bidi w:val="0"/>
        <w:rPr>
          <w:rFonts w:hint="eastAsia" w:ascii="宋体" w:hAnsi="宋体" w:eastAsia="方正仿宋简体" w:cs="方正仿宋简体"/>
          <w:color w:val="auto"/>
          <w:highlight w:val="none"/>
          <w:lang w:val="en-US" w:eastAsia="zh-CN"/>
        </w:rPr>
        <w:sectPr>
          <w:footerReference r:id="rId6" w:type="default"/>
          <w:pgSz w:w="11900" w:h="16830"/>
          <w:pgMar w:top="1430" w:right="1785" w:bottom="1320" w:left="1750" w:header="0" w:footer="0" w:gutter="0"/>
          <w:pgNumType w:fmt="numberInDash" w:start="1"/>
          <w:cols w:space="720" w:num="1"/>
        </w:sectPr>
      </w:pPr>
      <w:r>
        <w:rPr>
          <w:rFonts w:hint="default" w:ascii="宋体" w:hAnsi="宋体" w:eastAsia="方正仿宋简体" w:cs="方正仿宋简体"/>
          <w:color w:val="auto"/>
          <w:highlight w:val="none"/>
          <w:lang w:val="en-US" w:eastAsia="zh-CN"/>
        </w:rPr>
        <w:t>采取有效措施，进一步加大安全生产法律法规的宣贯力度，强化油品销售企业的安全生产法治意识，严格依法合规经营。督促加油站建立健全安全生产规章制度，加强安全培训，加强设备设施管理，规范装卸油作业和动火、进入受限空间、高处作业等特殊作业管理。按照法律法规和兵团党委、兵团确定的职责分工</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明确属地各部门成品油零售经营安全生产监管责任</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强化安全生产源头防范</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建立安全生产日常抽查、检查及专项检查制度</w:t>
      </w:r>
      <w:r>
        <w:rPr>
          <w:rFonts w:hint="eastAsia" w:ascii="宋体" w:hAnsi="宋体" w:eastAsia="方正仿宋简体" w:cs="方正仿宋简体"/>
          <w:color w:val="auto"/>
          <w:highlight w:val="none"/>
          <w:lang w:val="en-US" w:eastAsia="zh-CN"/>
        </w:rPr>
        <w:t>，</w:t>
      </w:r>
      <w:r>
        <w:rPr>
          <w:rFonts w:hint="default" w:ascii="宋体" w:hAnsi="宋体" w:eastAsia="方正仿宋简体" w:cs="方正仿宋简体"/>
          <w:color w:val="auto"/>
          <w:highlight w:val="none"/>
          <w:lang w:val="en-US" w:eastAsia="zh-CN"/>
        </w:rPr>
        <w:t>切实落实安全生产属地管理责任</w:t>
      </w:r>
      <w:r>
        <w:rPr>
          <w:rFonts w:hint="eastAsia" w:ascii="宋体" w:hAnsi="宋体" w:eastAsia="方正仿宋简体" w:cs="方正仿宋简体"/>
          <w:color w:val="auto"/>
          <w:highlight w:val="none"/>
          <w:lang w:val="en-US" w:eastAsia="zh-CN"/>
        </w:rPr>
        <w:t>。</w:t>
      </w:r>
    </w:p>
    <w:p>
      <w:pPr>
        <w:pStyle w:val="2"/>
        <w:keepNext w:val="0"/>
        <w:keepLines w:val="0"/>
        <w:pageBreakBefore w:val="0"/>
        <w:widowControl w:val="0"/>
        <w:kinsoku/>
        <w:wordWrap/>
        <w:overflowPunct/>
        <w:topLinePunct w:val="0"/>
        <w:autoSpaceDE/>
        <w:autoSpaceDN/>
        <w:bidi w:val="0"/>
        <w:adjustRightInd/>
        <w:spacing w:line="30" w:lineRule="atLeast"/>
        <w:ind w:left="0" w:leftChars="0" w:firstLine="0" w:firstLineChars="0"/>
        <w:textAlignment w:val="auto"/>
        <w:rPr>
          <w:rFonts w:hint="eastAsia" w:ascii="宋体" w:hAnsi="宋体" w:cs="Times New Roman"/>
          <w:b/>
          <w:bCs/>
          <w:color w:val="auto"/>
          <w:highlight w:val="none"/>
          <w:lang w:val="en-US" w:eastAsia="zh-CN"/>
        </w:rPr>
      </w:pPr>
    </w:p>
    <w:p>
      <w:pPr>
        <w:pStyle w:val="2"/>
        <w:keepNext w:val="0"/>
        <w:keepLines w:val="0"/>
        <w:pageBreakBefore w:val="0"/>
        <w:widowControl w:val="0"/>
        <w:kinsoku/>
        <w:wordWrap/>
        <w:overflowPunct/>
        <w:topLinePunct w:val="0"/>
        <w:autoSpaceDE/>
        <w:autoSpaceDN/>
        <w:bidi w:val="0"/>
        <w:adjustRightInd/>
        <w:spacing w:line="30" w:lineRule="atLeast"/>
        <w:ind w:left="0" w:leftChars="0" w:firstLine="0" w:firstLineChars="0"/>
        <w:textAlignment w:val="auto"/>
        <w:rPr>
          <w:rFonts w:hint="eastAsia" w:ascii="宋体" w:hAnsi="宋体" w:eastAsia="方正仿宋简体" w:cs="方正仿宋简体"/>
          <w:b w:val="0"/>
          <w:bCs w:val="0"/>
          <w:color w:val="auto"/>
          <w:highlight w:val="none"/>
          <w:lang w:val="en-US" w:eastAsia="zh-CN"/>
        </w:rPr>
      </w:pPr>
      <w:r>
        <w:rPr>
          <w:rFonts w:hint="eastAsia" w:ascii="宋体" w:hAnsi="宋体" w:eastAsia="方正仿宋简体" w:cs="方正仿宋简体"/>
          <w:b w:val="0"/>
          <w:bCs w:val="0"/>
          <w:color w:val="auto"/>
          <w:highlight w:val="none"/>
          <w:lang w:val="en-US" w:eastAsia="zh-CN"/>
        </w:rPr>
        <w:t>附图</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0" w:lineRule="atLeast"/>
        <w:ind w:firstLine="640" w:firstLineChars="200"/>
        <w:textAlignment w:val="auto"/>
        <w:rPr>
          <w:rFonts w:hint="default" w:ascii="宋体" w:hAnsi="宋体" w:eastAsia="仿宋" w:cs="仿宋"/>
          <w:sz w:val="32"/>
          <w:szCs w:val="32"/>
          <w:lang w:val="en-US" w:eastAsia="zh-CN"/>
        </w:rPr>
      </w:pPr>
      <w:r>
        <w:rPr>
          <w:rFonts w:hint="eastAsia" w:ascii="宋体" w:hAnsi="宋体" w:cs="仿宋"/>
          <w:sz w:val="32"/>
          <w:szCs w:val="32"/>
          <w:lang w:val="en-US" w:eastAsia="zh-CN"/>
        </w:rPr>
        <w:t>1.</w:t>
      </w:r>
      <w:r>
        <w:rPr>
          <w:rFonts w:hint="default" w:ascii="宋体" w:hAnsi="宋体" w:eastAsia="仿宋" w:cs="仿宋"/>
          <w:sz w:val="32"/>
          <w:szCs w:val="32"/>
          <w:lang w:val="en-US" w:eastAsia="zh-CN"/>
        </w:rPr>
        <w:t>第二师铁门关市成品油零售体系</w:t>
      </w:r>
      <w:r>
        <w:rPr>
          <w:rFonts w:hint="eastAsia" w:ascii="宋体" w:hAnsi="宋体" w:eastAsia="仿宋" w:cs="仿宋"/>
          <w:sz w:val="32"/>
          <w:szCs w:val="32"/>
          <w:lang w:val="en-US" w:eastAsia="zh-CN"/>
        </w:rPr>
        <w:t>“</w:t>
      </w:r>
      <w:r>
        <w:rPr>
          <w:rFonts w:hint="default" w:ascii="宋体" w:hAnsi="宋体" w:eastAsia="仿宋" w:cs="仿宋"/>
          <w:sz w:val="32"/>
          <w:szCs w:val="32"/>
          <w:lang w:val="en-US" w:eastAsia="zh-CN"/>
        </w:rPr>
        <w:t>十</w:t>
      </w:r>
      <w:r>
        <w:rPr>
          <w:rFonts w:hint="eastAsia" w:ascii="宋体" w:hAnsi="宋体" w:cs="仿宋"/>
          <w:sz w:val="32"/>
          <w:szCs w:val="32"/>
          <w:lang w:val="en-US" w:eastAsia="zh-CN"/>
        </w:rPr>
        <w:t>三</w:t>
      </w:r>
      <w:r>
        <w:rPr>
          <w:rFonts w:hint="default" w:ascii="宋体" w:hAnsi="宋体" w:eastAsia="仿宋" w:cs="仿宋"/>
          <w:sz w:val="32"/>
          <w:szCs w:val="32"/>
          <w:lang w:val="en-US" w:eastAsia="zh-CN"/>
        </w:rPr>
        <w:t>五</w:t>
      </w:r>
      <w:r>
        <w:rPr>
          <w:rFonts w:hint="eastAsia" w:ascii="宋体" w:hAnsi="宋体" w:eastAsia="仿宋" w:cs="仿宋"/>
          <w:sz w:val="32"/>
          <w:szCs w:val="32"/>
          <w:lang w:val="en-US" w:eastAsia="zh-CN"/>
        </w:rPr>
        <w:t>”</w:t>
      </w:r>
      <w:r>
        <w:rPr>
          <w:rFonts w:hint="eastAsia" w:ascii="宋体" w:hAnsi="宋体" w:cs="仿宋"/>
          <w:sz w:val="32"/>
          <w:szCs w:val="32"/>
          <w:lang w:val="en-US" w:eastAsia="zh-CN"/>
        </w:rPr>
        <w:t>期间</w:t>
      </w:r>
      <w:r>
        <w:rPr>
          <w:rFonts w:hint="eastAsia" w:ascii="宋体" w:hAnsi="宋体" w:eastAsia="仿宋" w:cs="仿宋"/>
          <w:sz w:val="32"/>
          <w:szCs w:val="32"/>
          <w:lang w:val="en-US" w:eastAsia="zh-CN"/>
        </w:rPr>
        <w:t>加油站网点分布图</w:t>
      </w:r>
    </w:p>
    <w:p>
      <w:pPr>
        <w:keepNext w:val="0"/>
        <w:keepLines w:val="0"/>
        <w:pageBreakBefore w:val="0"/>
        <w:widowControl w:val="0"/>
        <w:numPr>
          <w:ilvl w:val="0"/>
          <w:numId w:val="0"/>
        </w:numPr>
        <w:kinsoku/>
        <w:wordWrap/>
        <w:overflowPunct/>
        <w:topLinePunct w:val="0"/>
        <w:autoSpaceDE/>
        <w:autoSpaceDN/>
        <w:bidi w:val="0"/>
        <w:adjustRightInd/>
        <w:snapToGrid/>
        <w:spacing w:before="1" w:line="30" w:lineRule="atLeast"/>
        <w:ind w:right="76" w:rightChars="0" w:firstLine="640" w:firstLineChars="200"/>
        <w:textAlignment w:val="auto"/>
        <w:rPr>
          <w:rFonts w:hint="eastAsia" w:ascii="宋体" w:hAnsi="宋体" w:eastAsia="仿宋" w:cs="仿宋"/>
          <w:sz w:val="32"/>
          <w:szCs w:val="32"/>
        </w:rPr>
      </w:pPr>
      <w:r>
        <w:rPr>
          <w:rFonts w:hint="eastAsia" w:ascii="宋体" w:hAnsi="宋体"/>
          <w:lang w:val="en-US" w:eastAsia="zh-CN"/>
        </w:rPr>
        <w:t>2.</w:t>
      </w:r>
      <w:r>
        <w:rPr>
          <w:rFonts w:hint="default" w:ascii="宋体" w:hAnsi="宋体" w:eastAsia="仿宋" w:cs="仿宋"/>
          <w:sz w:val="32"/>
          <w:szCs w:val="32"/>
          <w:lang w:val="en-US" w:eastAsia="zh-CN"/>
        </w:rPr>
        <w:t>第二师铁门关市成品油零售体系</w:t>
      </w:r>
      <w:r>
        <w:rPr>
          <w:rFonts w:hint="eastAsia" w:ascii="宋体" w:hAnsi="宋体" w:eastAsia="仿宋" w:cs="仿宋"/>
          <w:sz w:val="32"/>
          <w:szCs w:val="32"/>
          <w:lang w:eastAsia="zh-CN"/>
        </w:rPr>
        <w:t>“</w:t>
      </w:r>
      <w:r>
        <w:rPr>
          <w:rFonts w:hint="default" w:ascii="宋体" w:hAnsi="宋体" w:eastAsia="仿宋" w:cs="仿宋"/>
          <w:sz w:val="32"/>
          <w:szCs w:val="32"/>
        </w:rPr>
        <w:t>十四五</w:t>
      </w:r>
      <w:r>
        <w:rPr>
          <w:rFonts w:hint="eastAsia" w:ascii="宋体" w:hAnsi="宋体" w:eastAsia="仿宋" w:cs="仿宋"/>
          <w:sz w:val="32"/>
          <w:szCs w:val="32"/>
          <w:lang w:eastAsia="zh-CN"/>
        </w:rPr>
        <w:t>”</w:t>
      </w:r>
      <w:r>
        <w:rPr>
          <w:rFonts w:hint="eastAsia" w:ascii="宋体" w:hAnsi="宋体" w:eastAsia="仿宋" w:cs="仿宋"/>
          <w:sz w:val="32"/>
          <w:szCs w:val="32"/>
        </w:rPr>
        <w:t>规划加油站网点分布图</w:t>
      </w:r>
    </w:p>
    <w:p>
      <w:pPr>
        <w:pStyle w:val="2"/>
        <w:rPr>
          <w:rFonts w:hint="eastAsia" w:ascii="宋体" w:hAnsi="宋体" w:eastAsia="仿宋" w:cs="仿宋"/>
          <w:sz w:val="32"/>
          <w:szCs w:val="32"/>
        </w:rPr>
      </w:pPr>
    </w:p>
    <w:p>
      <w:pPr>
        <w:pStyle w:val="2"/>
        <w:rPr>
          <w:rFonts w:hint="eastAsia" w:ascii="宋体" w:hAnsi="宋体" w:eastAsia="仿宋" w:cs="仿宋"/>
          <w:sz w:val="32"/>
          <w:szCs w:val="32"/>
        </w:rPr>
      </w:pPr>
    </w:p>
    <w:p>
      <w:pPr>
        <w:pStyle w:val="2"/>
        <w:rPr>
          <w:rFonts w:hint="eastAsia" w:ascii="宋体" w:hAnsi="宋体" w:eastAsia="仿宋" w:cs="仿宋"/>
          <w:sz w:val="32"/>
          <w:szCs w:val="32"/>
        </w:rPr>
      </w:pPr>
    </w:p>
    <w:p>
      <w:pPr>
        <w:pStyle w:val="2"/>
        <w:rPr>
          <w:rFonts w:hint="eastAsia" w:ascii="宋体" w:hAnsi="宋体" w:eastAsia="仿宋" w:cs="仿宋"/>
          <w:sz w:val="32"/>
          <w:szCs w:val="32"/>
        </w:rPr>
      </w:pPr>
    </w:p>
    <w:p>
      <w:pPr>
        <w:pStyle w:val="2"/>
        <w:rPr>
          <w:rFonts w:hint="eastAsia" w:ascii="宋体" w:hAnsi="宋体" w:eastAsia="仿宋" w:cs="仿宋"/>
          <w:sz w:val="32"/>
          <w:szCs w:val="32"/>
        </w:rPr>
      </w:pPr>
    </w:p>
    <w:p>
      <w:pPr>
        <w:pStyle w:val="2"/>
        <w:rPr>
          <w:rFonts w:hint="eastAsia" w:ascii="宋体" w:hAnsi="宋体" w:eastAsia="仿宋" w:cs="仿宋"/>
          <w:sz w:val="32"/>
          <w:szCs w:val="32"/>
        </w:rPr>
      </w:pPr>
    </w:p>
    <w:p>
      <w:pPr>
        <w:pStyle w:val="2"/>
        <w:rPr>
          <w:rFonts w:hint="eastAsia" w:ascii="宋体" w:hAnsi="宋体" w:eastAsia="仿宋" w:cs="仿宋"/>
          <w:sz w:val="32"/>
          <w:szCs w:val="32"/>
        </w:rPr>
      </w:pPr>
    </w:p>
    <w:p>
      <w:pPr>
        <w:pStyle w:val="2"/>
        <w:ind w:left="0" w:leftChars="0" w:firstLine="0" w:firstLineChars="0"/>
        <w:rPr>
          <w:rFonts w:hint="default" w:ascii="宋体" w:hAnsi="宋体" w:cs="Times New Roman"/>
          <w:color w:val="auto"/>
          <w:highlight w:val="none"/>
          <w:lang w:val="en-US" w:eastAsia="zh-CN"/>
        </w:rPr>
      </w:pPr>
      <w:r>
        <w:rPr>
          <w:rFonts w:hint="default" w:ascii="宋体" w:hAnsi="宋体" w:cs="Times New Roman"/>
          <w:color w:val="auto"/>
          <w:highlight w:val="none"/>
          <w:lang w:val="en-US" w:eastAsia="zh-CN"/>
        </w:rPr>
        <w:drawing>
          <wp:inline distT="0" distB="0" distL="114300" distR="114300">
            <wp:extent cx="8783320" cy="5718175"/>
            <wp:effectExtent l="0" t="0" r="12065" b="10160"/>
            <wp:docPr id="6" name="图片 6" descr="十四五”规划.--现有-终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十四五”规划.--现有-终稿"/>
                    <pic:cNvPicPr>
                      <a:picLocks noChangeAspect="1"/>
                    </pic:cNvPicPr>
                  </pic:nvPicPr>
                  <pic:blipFill>
                    <a:blip r:embed="rId14"/>
                    <a:stretch>
                      <a:fillRect/>
                    </a:stretch>
                  </pic:blipFill>
                  <pic:spPr>
                    <a:xfrm rot="16200000">
                      <a:off x="0" y="0"/>
                      <a:ext cx="8783320" cy="5718175"/>
                    </a:xfrm>
                    <a:prstGeom prst="rect">
                      <a:avLst/>
                    </a:prstGeom>
                  </pic:spPr>
                </pic:pic>
              </a:graphicData>
            </a:graphic>
          </wp:inline>
        </w:drawing>
      </w:r>
    </w:p>
    <w:p>
      <w:pPr>
        <w:pStyle w:val="2"/>
        <w:ind w:left="0" w:leftChars="0" w:firstLine="0" w:firstLineChars="0"/>
        <w:rPr>
          <w:rFonts w:hint="default" w:ascii="宋体" w:hAnsi="宋体" w:cs="Times New Roman"/>
          <w:color w:val="auto"/>
          <w:highlight w:val="none"/>
          <w:lang w:val="en-US" w:eastAsia="zh-CN"/>
        </w:rPr>
      </w:pPr>
      <w:r>
        <w:rPr>
          <w:rFonts w:hint="default" w:ascii="宋体" w:hAnsi="宋体" w:cs="Times New Roman"/>
          <w:color w:val="auto"/>
          <w:highlight w:val="none"/>
          <w:lang w:val="en-US" w:eastAsia="zh-CN"/>
        </w:rPr>
        <w:drawing>
          <wp:inline distT="0" distB="0" distL="114300" distR="114300">
            <wp:extent cx="8775700" cy="5694680"/>
            <wp:effectExtent l="0" t="0" r="5080" b="2540"/>
            <wp:docPr id="13" name="图片 13" descr="十四五”规划.--规划-终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十四五”规划.--规划-终稿"/>
                    <pic:cNvPicPr>
                      <a:picLocks noChangeAspect="1"/>
                    </pic:cNvPicPr>
                  </pic:nvPicPr>
                  <pic:blipFill>
                    <a:blip r:embed="rId15"/>
                    <a:stretch>
                      <a:fillRect/>
                    </a:stretch>
                  </pic:blipFill>
                  <pic:spPr>
                    <a:xfrm rot="16200000">
                      <a:off x="0" y="0"/>
                      <a:ext cx="8775700" cy="5694680"/>
                    </a:xfrm>
                    <a:prstGeom prst="rect">
                      <a:avLst/>
                    </a:prstGeom>
                  </pic:spPr>
                </pic:pic>
              </a:graphicData>
            </a:graphic>
          </wp:inline>
        </w:drawing>
      </w:r>
    </w:p>
    <w:p>
      <w:pPr>
        <w:spacing w:before="146" w:line="224" w:lineRule="auto"/>
        <w:ind w:firstLine="59"/>
        <w:rPr>
          <w:rFonts w:ascii="宋体" w:hAnsi="宋体" w:eastAsia="黑体" w:cs="黑体"/>
          <w:sz w:val="34"/>
          <w:szCs w:val="34"/>
        </w:rPr>
      </w:pPr>
      <w:r>
        <w:rPr>
          <w:rFonts w:ascii="宋体" w:hAnsi="宋体" w:eastAsia="黑体" w:cs="黑体"/>
          <w:sz w:val="34"/>
          <w:szCs w:val="34"/>
        </w:rPr>
        <w:t>附件1:</w:t>
      </w:r>
    </w:p>
    <w:p>
      <w:pPr>
        <w:spacing w:before="148" w:line="219" w:lineRule="auto"/>
        <w:ind w:firstLine="3040" w:firstLineChars="800"/>
        <w:jc w:val="left"/>
        <w:rPr>
          <w:rFonts w:ascii="宋体" w:hAnsi="宋体" w:eastAsia="宋体" w:cs="宋体"/>
          <w:sz w:val="34"/>
          <w:szCs w:val="34"/>
        </w:rPr>
      </w:pPr>
      <w:r>
        <w:rPr>
          <w:rFonts w:ascii="宋体" w:hAnsi="宋体" w:eastAsia="宋体" w:cs="宋体"/>
          <w:spacing w:val="20"/>
          <w:sz w:val="34"/>
          <w:szCs w:val="34"/>
        </w:rPr>
        <w:t>加油站建设申请表</w:t>
      </w:r>
    </w:p>
    <w:tbl>
      <w:tblPr>
        <w:tblStyle w:val="37"/>
        <w:tblpPr w:leftFromText="180" w:rightFromText="180" w:vertAnchor="text" w:horzAnchor="page" w:tblpX="1799" w:tblpY="401"/>
        <w:tblOverlap w:val="never"/>
        <w:tblW w:w="892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3"/>
        <w:gridCol w:w="1171"/>
        <w:gridCol w:w="91"/>
        <w:gridCol w:w="1470"/>
        <w:gridCol w:w="1289"/>
        <w:gridCol w:w="1391"/>
        <w:gridCol w:w="945"/>
        <w:gridCol w:w="316"/>
        <w:gridCol w:w="152"/>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70" w:hRule="atLeast"/>
        </w:trPr>
        <w:tc>
          <w:tcPr>
            <w:tcW w:w="1805" w:type="dxa"/>
            <w:gridSpan w:val="3"/>
            <w:tcBorders>
              <w:top w:val="single" w:color="000000" w:sz="2" w:space="0"/>
              <w:bottom w:val="single" w:color="000000" w:sz="2" w:space="0"/>
            </w:tcBorders>
            <w:noWrap w:val="0"/>
            <w:vAlign w:val="top"/>
          </w:tcPr>
          <w:p>
            <w:pPr>
              <w:spacing w:before="180" w:line="221" w:lineRule="auto"/>
              <w:ind w:firstLine="474"/>
              <w:rPr>
                <w:rFonts w:ascii="宋体" w:hAnsi="宋体" w:eastAsia="宋体" w:cs="宋体"/>
                <w:sz w:val="21"/>
                <w:szCs w:val="21"/>
              </w:rPr>
            </w:pPr>
            <w:r>
              <w:rPr>
                <w:rFonts w:ascii="宋体" w:hAnsi="宋体" w:eastAsia="宋体" w:cs="宋体"/>
                <w:spacing w:val="2"/>
                <w:sz w:val="21"/>
                <w:szCs w:val="21"/>
              </w:rPr>
              <w:t>企业名称</w:t>
            </w:r>
          </w:p>
        </w:tc>
        <w:tc>
          <w:tcPr>
            <w:tcW w:w="4150" w:type="dxa"/>
            <w:gridSpan w:val="3"/>
            <w:tcBorders>
              <w:top w:val="single" w:color="000000" w:sz="2" w:space="0"/>
              <w:bottom w:val="single" w:color="000000" w:sz="2" w:space="0"/>
            </w:tcBorders>
            <w:noWrap w:val="0"/>
            <w:vAlign w:val="top"/>
          </w:tcPr>
          <w:p>
            <w:pPr>
              <w:rPr>
                <w:rFonts w:ascii="宋体" w:hAnsi="宋体"/>
                <w:sz w:val="21"/>
              </w:rPr>
            </w:pPr>
          </w:p>
        </w:tc>
        <w:tc>
          <w:tcPr>
            <w:tcW w:w="1413" w:type="dxa"/>
            <w:gridSpan w:val="3"/>
            <w:tcBorders>
              <w:top w:val="single" w:color="000000" w:sz="2" w:space="0"/>
              <w:bottom w:val="single" w:color="000000" w:sz="2" w:space="0"/>
            </w:tcBorders>
            <w:noWrap w:val="0"/>
            <w:vAlign w:val="top"/>
          </w:tcPr>
          <w:p>
            <w:pPr>
              <w:spacing w:before="50" w:line="228" w:lineRule="auto"/>
              <w:ind w:left="0" w:leftChars="0" w:right="169" w:firstLine="0" w:firstLineChars="0"/>
              <w:rPr>
                <w:rFonts w:hint="eastAsia" w:ascii="宋体" w:hAnsi="宋体" w:eastAsia="宋体" w:cs="宋体"/>
                <w:sz w:val="21"/>
                <w:szCs w:val="21"/>
                <w:lang w:eastAsia="zh-CN"/>
              </w:rPr>
            </w:pPr>
            <w:r>
              <w:rPr>
                <w:rFonts w:ascii="宋体" w:hAnsi="宋体" w:eastAsia="宋体" w:cs="宋体"/>
                <w:spacing w:val="-2"/>
                <w:sz w:val="21"/>
                <w:szCs w:val="21"/>
              </w:rPr>
              <w:t>法定代表人</w:t>
            </w:r>
            <w:r>
              <w:rPr>
                <w:rFonts w:ascii="宋体" w:hAnsi="宋体" w:eastAsia="宋体" w:cs="宋体"/>
                <w:sz w:val="21"/>
                <w:szCs w:val="21"/>
              </w:rPr>
              <w:t xml:space="preserve"> </w:t>
            </w:r>
            <w:r>
              <w:rPr>
                <w:rFonts w:ascii="宋体" w:hAnsi="宋体" w:eastAsia="宋体" w:cs="宋体"/>
                <w:spacing w:val="3"/>
                <w:sz w:val="21"/>
                <w:szCs w:val="21"/>
              </w:rPr>
              <w:t>(负责人</w:t>
            </w:r>
            <w:r>
              <w:rPr>
                <w:rFonts w:hint="eastAsia" w:ascii="宋体" w:hAnsi="宋体" w:eastAsia="宋体" w:cs="宋体"/>
                <w:spacing w:val="3"/>
                <w:sz w:val="21"/>
                <w:szCs w:val="21"/>
                <w:lang w:eastAsia="zh-CN"/>
              </w:rPr>
              <w:t>）</w:t>
            </w:r>
          </w:p>
        </w:tc>
        <w:tc>
          <w:tcPr>
            <w:tcW w:w="1559"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5" w:hRule="atLeast"/>
        </w:trPr>
        <w:tc>
          <w:tcPr>
            <w:tcW w:w="1805" w:type="dxa"/>
            <w:gridSpan w:val="3"/>
            <w:tcBorders>
              <w:top w:val="single" w:color="000000" w:sz="2" w:space="0"/>
              <w:bottom w:val="single" w:color="000000" w:sz="2" w:space="0"/>
            </w:tcBorders>
            <w:noWrap w:val="0"/>
            <w:vAlign w:val="top"/>
          </w:tcPr>
          <w:p>
            <w:pPr>
              <w:spacing w:before="154" w:line="221" w:lineRule="auto"/>
              <w:ind w:firstLine="474"/>
              <w:rPr>
                <w:rFonts w:ascii="宋体" w:hAnsi="宋体" w:eastAsia="宋体" w:cs="宋体"/>
                <w:sz w:val="21"/>
                <w:szCs w:val="21"/>
              </w:rPr>
            </w:pPr>
            <w:r>
              <w:rPr>
                <w:rFonts w:ascii="宋体" w:hAnsi="宋体" w:eastAsia="宋体" w:cs="宋体"/>
                <w:spacing w:val="-2"/>
                <w:sz w:val="21"/>
                <w:szCs w:val="21"/>
              </w:rPr>
              <w:t>注册地址</w:t>
            </w:r>
          </w:p>
        </w:tc>
        <w:tc>
          <w:tcPr>
            <w:tcW w:w="4150" w:type="dxa"/>
            <w:gridSpan w:val="3"/>
            <w:tcBorders>
              <w:top w:val="single" w:color="000000" w:sz="2" w:space="0"/>
              <w:bottom w:val="single" w:color="000000" w:sz="2" w:space="0"/>
            </w:tcBorders>
            <w:noWrap w:val="0"/>
            <w:vAlign w:val="top"/>
          </w:tcPr>
          <w:p>
            <w:pPr>
              <w:rPr>
                <w:rFonts w:ascii="宋体" w:hAnsi="宋体"/>
                <w:sz w:val="21"/>
              </w:rPr>
            </w:pPr>
          </w:p>
        </w:tc>
        <w:tc>
          <w:tcPr>
            <w:tcW w:w="1413" w:type="dxa"/>
            <w:gridSpan w:val="3"/>
            <w:tcBorders>
              <w:top w:val="single" w:color="000000" w:sz="2" w:space="0"/>
              <w:bottom w:val="single" w:color="000000" w:sz="2" w:space="0"/>
            </w:tcBorders>
            <w:noWrap w:val="0"/>
            <w:vAlign w:val="top"/>
          </w:tcPr>
          <w:p>
            <w:pPr>
              <w:spacing w:before="165" w:line="219" w:lineRule="auto"/>
              <w:ind w:left="0" w:leftChars="0" w:firstLine="214" w:firstLineChars="100"/>
              <w:rPr>
                <w:rFonts w:ascii="宋体" w:hAnsi="宋体" w:eastAsia="宋体" w:cs="宋体"/>
                <w:sz w:val="21"/>
                <w:szCs w:val="21"/>
              </w:rPr>
            </w:pPr>
            <w:r>
              <w:rPr>
                <w:rFonts w:ascii="宋体" w:hAnsi="宋体" w:eastAsia="宋体" w:cs="宋体"/>
                <w:spacing w:val="2"/>
                <w:sz w:val="21"/>
                <w:szCs w:val="21"/>
              </w:rPr>
              <w:t>邮政编码</w:t>
            </w:r>
          </w:p>
        </w:tc>
        <w:tc>
          <w:tcPr>
            <w:tcW w:w="1559"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5" w:hRule="atLeast"/>
        </w:trPr>
        <w:tc>
          <w:tcPr>
            <w:tcW w:w="1805" w:type="dxa"/>
            <w:gridSpan w:val="3"/>
            <w:tcBorders>
              <w:top w:val="single" w:color="000000" w:sz="2" w:space="0"/>
              <w:bottom w:val="single" w:color="000000" w:sz="2" w:space="0"/>
            </w:tcBorders>
            <w:noWrap w:val="0"/>
            <w:vAlign w:val="top"/>
          </w:tcPr>
          <w:p>
            <w:pPr>
              <w:spacing w:before="195" w:line="219" w:lineRule="auto"/>
              <w:ind w:firstLine="474"/>
              <w:rPr>
                <w:rFonts w:ascii="宋体" w:hAnsi="宋体" w:eastAsia="宋体" w:cs="宋体"/>
                <w:sz w:val="21"/>
                <w:szCs w:val="21"/>
              </w:rPr>
            </w:pPr>
            <w:r>
              <w:rPr>
                <w:rFonts w:ascii="宋体" w:hAnsi="宋体" w:eastAsia="宋体" w:cs="宋体"/>
                <w:spacing w:val="3"/>
                <w:sz w:val="21"/>
                <w:szCs w:val="21"/>
              </w:rPr>
              <w:t>经济类型</w:t>
            </w:r>
          </w:p>
        </w:tc>
        <w:tc>
          <w:tcPr>
            <w:tcW w:w="7122" w:type="dxa"/>
            <w:gridSpan w:val="7"/>
            <w:tcBorders>
              <w:top w:val="single" w:color="000000" w:sz="2" w:space="0"/>
              <w:bottom w:val="single" w:color="000000" w:sz="2" w:space="0"/>
            </w:tcBorders>
            <w:noWrap w:val="0"/>
            <w:vAlign w:val="top"/>
          </w:tcPr>
          <w:p>
            <w:pPr>
              <w:spacing w:before="195" w:line="220" w:lineRule="auto"/>
              <w:ind w:firstLine="581"/>
              <w:rPr>
                <w:rFonts w:ascii="宋体" w:hAnsi="宋体" w:eastAsia="宋体" w:cs="宋体"/>
                <w:sz w:val="21"/>
                <w:szCs w:val="21"/>
              </w:rPr>
            </w:pPr>
            <w:r>
              <w:rPr>
                <w:rFonts w:ascii="宋体" w:hAnsi="宋体" w:eastAsia="宋体" w:cs="宋体"/>
                <w:sz w:val="21"/>
                <w:szCs w:val="21"/>
              </w:rPr>
              <w:t>中石油口/中石化口/其他国有□/民营口/外资口/合资口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5" w:hRule="atLeast"/>
        </w:trPr>
        <w:tc>
          <w:tcPr>
            <w:tcW w:w="1805" w:type="dxa"/>
            <w:gridSpan w:val="3"/>
            <w:tcBorders>
              <w:top w:val="single" w:color="000000" w:sz="2" w:space="0"/>
              <w:bottom w:val="single" w:color="000000" w:sz="2" w:space="0"/>
            </w:tcBorders>
            <w:noWrap w:val="0"/>
            <w:vAlign w:val="top"/>
          </w:tcPr>
          <w:p>
            <w:pPr>
              <w:spacing w:before="144" w:line="221" w:lineRule="auto"/>
              <w:ind w:firstLine="474"/>
              <w:rPr>
                <w:rFonts w:ascii="宋体" w:hAnsi="宋体" w:eastAsia="宋体" w:cs="宋体"/>
                <w:sz w:val="21"/>
                <w:szCs w:val="21"/>
              </w:rPr>
            </w:pPr>
            <w:r>
              <w:rPr>
                <w:rFonts w:ascii="宋体" w:hAnsi="宋体" w:eastAsia="宋体" w:cs="宋体"/>
                <w:spacing w:val="-2"/>
                <w:sz w:val="21"/>
                <w:szCs w:val="21"/>
              </w:rPr>
              <w:t>注册资金</w:t>
            </w:r>
          </w:p>
        </w:tc>
        <w:tc>
          <w:tcPr>
            <w:tcW w:w="4150" w:type="dxa"/>
            <w:gridSpan w:val="3"/>
            <w:tcBorders>
              <w:top w:val="single" w:color="000000" w:sz="2" w:space="0"/>
              <w:bottom w:val="single" w:color="000000" w:sz="2" w:space="0"/>
            </w:tcBorders>
            <w:noWrap w:val="0"/>
            <w:vAlign w:val="top"/>
          </w:tcPr>
          <w:p>
            <w:pPr>
              <w:rPr>
                <w:rFonts w:ascii="宋体" w:hAnsi="宋体"/>
                <w:sz w:val="21"/>
              </w:rPr>
            </w:pPr>
          </w:p>
        </w:tc>
        <w:tc>
          <w:tcPr>
            <w:tcW w:w="1413" w:type="dxa"/>
            <w:gridSpan w:val="3"/>
            <w:tcBorders>
              <w:top w:val="single" w:color="000000" w:sz="2" w:space="0"/>
              <w:bottom w:val="single" w:color="000000" w:sz="2" w:space="0"/>
            </w:tcBorders>
            <w:noWrap w:val="0"/>
            <w:vAlign w:val="top"/>
          </w:tcPr>
          <w:p>
            <w:pPr>
              <w:spacing w:before="155" w:line="219" w:lineRule="auto"/>
              <w:ind w:firstLine="380"/>
              <w:rPr>
                <w:rFonts w:ascii="宋体" w:hAnsi="宋体" w:eastAsia="宋体" w:cs="宋体"/>
                <w:sz w:val="21"/>
                <w:szCs w:val="21"/>
              </w:rPr>
            </w:pPr>
            <w:r>
              <w:rPr>
                <w:rFonts w:ascii="宋体" w:hAnsi="宋体" w:eastAsia="宋体" w:cs="宋体"/>
                <w:spacing w:val="4"/>
                <w:sz w:val="21"/>
                <w:szCs w:val="21"/>
              </w:rPr>
              <w:t>总资产</w:t>
            </w:r>
          </w:p>
        </w:tc>
        <w:tc>
          <w:tcPr>
            <w:tcW w:w="1559"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1805" w:type="dxa"/>
            <w:gridSpan w:val="3"/>
            <w:tcBorders>
              <w:top w:val="single" w:color="000000" w:sz="2" w:space="0"/>
              <w:bottom w:val="single" w:color="000000" w:sz="2" w:space="0"/>
            </w:tcBorders>
            <w:noWrap w:val="0"/>
            <w:vAlign w:val="top"/>
          </w:tcPr>
          <w:p>
            <w:pPr>
              <w:spacing w:before="175" w:line="219" w:lineRule="auto"/>
              <w:ind w:firstLine="474"/>
              <w:rPr>
                <w:rFonts w:ascii="宋体" w:hAnsi="宋体" w:eastAsia="宋体" w:cs="宋体"/>
                <w:sz w:val="21"/>
                <w:szCs w:val="21"/>
              </w:rPr>
            </w:pPr>
            <w:r>
              <w:rPr>
                <w:rFonts w:ascii="宋体" w:hAnsi="宋体" w:eastAsia="宋体" w:cs="宋体"/>
                <w:spacing w:val="-3"/>
                <w:sz w:val="21"/>
                <w:szCs w:val="21"/>
              </w:rPr>
              <w:t>从业人数</w:t>
            </w:r>
          </w:p>
        </w:tc>
        <w:tc>
          <w:tcPr>
            <w:tcW w:w="4150" w:type="dxa"/>
            <w:gridSpan w:val="3"/>
            <w:tcBorders>
              <w:top w:val="single" w:color="000000" w:sz="2" w:space="0"/>
              <w:bottom w:val="single" w:color="000000" w:sz="2" w:space="0"/>
            </w:tcBorders>
            <w:noWrap w:val="0"/>
            <w:vAlign w:val="top"/>
          </w:tcPr>
          <w:p>
            <w:pPr>
              <w:rPr>
                <w:rFonts w:ascii="宋体" w:hAnsi="宋体"/>
                <w:sz w:val="21"/>
              </w:rPr>
            </w:pPr>
          </w:p>
        </w:tc>
        <w:tc>
          <w:tcPr>
            <w:tcW w:w="1413" w:type="dxa"/>
            <w:gridSpan w:val="3"/>
            <w:tcBorders>
              <w:top w:val="single" w:color="000000" w:sz="2" w:space="0"/>
              <w:bottom w:val="single" w:color="000000" w:sz="2" w:space="0"/>
            </w:tcBorders>
            <w:noWrap w:val="0"/>
            <w:vAlign w:val="top"/>
          </w:tcPr>
          <w:p>
            <w:pPr>
              <w:spacing w:before="64" w:line="220" w:lineRule="auto"/>
              <w:ind w:left="0" w:leftChars="0" w:right="261" w:firstLine="0" w:firstLineChars="0"/>
              <w:rPr>
                <w:rFonts w:ascii="宋体" w:hAnsi="宋体" w:eastAsia="宋体" w:cs="宋体"/>
                <w:sz w:val="21"/>
                <w:szCs w:val="21"/>
              </w:rPr>
            </w:pPr>
            <w:r>
              <w:rPr>
                <w:rFonts w:ascii="宋体" w:hAnsi="宋体" w:eastAsia="宋体" w:cs="宋体"/>
                <w:spacing w:val="-3"/>
                <w:sz w:val="21"/>
                <w:szCs w:val="21"/>
              </w:rPr>
              <w:t>其中专业</w:t>
            </w:r>
            <w:r>
              <w:rPr>
                <w:rFonts w:ascii="宋体" w:hAnsi="宋体" w:eastAsia="宋体" w:cs="宋体"/>
                <w:spacing w:val="2"/>
                <w:sz w:val="21"/>
                <w:szCs w:val="21"/>
              </w:rPr>
              <w:t xml:space="preserve"> </w:t>
            </w:r>
            <w:r>
              <w:rPr>
                <w:rFonts w:ascii="宋体" w:hAnsi="宋体" w:eastAsia="宋体" w:cs="宋体"/>
                <w:spacing w:val="7"/>
                <w:sz w:val="21"/>
                <w:szCs w:val="21"/>
              </w:rPr>
              <w:t>技术人员</w:t>
            </w:r>
          </w:p>
        </w:tc>
        <w:tc>
          <w:tcPr>
            <w:tcW w:w="1559"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5" w:hRule="atLeast"/>
        </w:trPr>
        <w:tc>
          <w:tcPr>
            <w:tcW w:w="1805" w:type="dxa"/>
            <w:gridSpan w:val="3"/>
            <w:tcBorders>
              <w:top w:val="single" w:color="000000" w:sz="2" w:space="0"/>
              <w:bottom w:val="single" w:color="000000" w:sz="2" w:space="0"/>
            </w:tcBorders>
            <w:noWrap w:val="0"/>
            <w:vAlign w:val="top"/>
          </w:tcPr>
          <w:p>
            <w:pPr>
              <w:spacing w:before="145" w:line="221" w:lineRule="auto"/>
              <w:ind w:firstLine="575"/>
              <w:rPr>
                <w:rFonts w:ascii="宋体" w:hAnsi="宋体" w:eastAsia="宋体" w:cs="宋体"/>
                <w:sz w:val="21"/>
                <w:szCs w:val="21"/>
              </w:rPr>
            </w:pPr>
            <w:r>
              <w:rPr>
                <w:rFonts w:ascii="宋体" w:hAnsi="宋体" w:eastAsia="宋体" w:cs="宋体"/>
                <w:spacing w:val="-3"/>
                <w:sz w:val="21"/>
                <w:szCs w:val="21"/>
              </w:rPr>
              <w:t>联系人</w:t>
            </w:r>
          </w:p>
        </w:tc>
        <w:tc>
          <w:tcPr>
            <w:tcW w:w="4150" w:type="dxa"/>
            <w:gridSpan w:val="3"/>
            <w:tcBorders>
              <w:top w:val="single" w:color="000000" w:sz="2" w:space="0"/>
              <w:bottom w:val="single" w:color="000000" w:sz="2" w:space="0"/>
            </w:tcBorders>
            <w:noWrap w:val="0"/>
            <w:vAlign w:val="top"/>
          </w:tcPr>
          <w:p>
            <w:pPr>
              <w:rPr>
                <w:rFonts w:ascii="宋体" w:hAnsi="宋体"/>
                <w:sz w:val="21"/>
              </w:rPr>
            </w:pPr>
          </w:p>
        </w:tc>
        <w:tc>
          <w:tcPr>
            <w:tcW w:w="1413" w:type="dxa"/>
            <w:gridSpan w:val="3"/>
            <w:tcBorders>
              <w:top w:val="single" w:color="000000" w:sz="2" w:space="0"/>
              <w:bottom w:val="single" w:color="000000" w:sz="2" w:space="0"/>
            </w:tcBorders>
            <w:noWrap w:val="0"/>
            <w:vAlign w:val="top"/>
          </w:tcPr>
          <w:p>
            <w:pPr>
              <w:spacing w:before="154" w:line="220" w:lineRule="auto"/>
              <w:ind w:firstLine="271"/>
              <w:rPr>
                <w:rFonts w:ascii="宋体" w:hAnsi="宋体" w:eastAsia="宋体" w:cs="宋体"/>
                <w:sz w:val="21"/>
                <w:szCs w:val="21"/>
              </w:rPr>
            </w:pPr>
            <w:r>
              <w:rPr>
                <w:rFonts w:ascii="宋体" w:hAnsi="宋体" w:eastAsia="宋体" w:cs="宋体"/>
                <w:spacing w:val="-2"/>
                <w:sz w:val="21"/>
                <w:szCs w:val="21"/>
              </w:rPr>
              <w:t>联系电话</w:t>
            </w:r>
          </w:p>
        </w:tc>
        <w:tc>
          <w:tcPr>
            <w:tcW w:w="1559"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543" w:type="dxa"/>
            <w:vMerge w:val="restart"/>
            <w:tcBorders>
              <w:top w:val="single" w:color="000000" w:sz="2" w:space="0"/>
              <w:bottom w:val="nil"/>
            </w:tcBorders>
            <w:noWrap w:val="0"/>
            <w:textDirection w:val="tbRlV"/>
            <w:vAlign w:val="top"/>
          </w:tcPr>
          <w:p>
            <w:pPr>
              <w:spacing w:before="168" w:line="215" w:lineRule="auto"/>
              <w:ind w:firstLine="794"/>
              <w:rPr>
                <w:rFonts w:ascii="宋体" w:hAnsi="宋体" w:eastAsia="宋体" w:cs="宋体"/>
                <w:sz w:val="21"/>
                <w:szCs w:val="21"/>
              </w:rPr>
            </w:pPr>
            <w:r>
              <w:rPr>
                <w:rFonts w:ascii="宋体" w:hAnsi="宋体" w:eastAsia="宋体" w:cs="宋体"/>
                <w:spacing w:val="23"/>
                <w:w w:val="105"/>
                <w:sz w:val="21"/>
                <w:szCs w:val="21"/>
              </w:rPr>
              <w:t>加油站及配套设施蒸本蕾湿</w:t>
            </w:r>
          </w:p>
        </w:tc>
        <w:tc>
          <w:tcPr>
            <w:tcW w:w="1262" w:type="dxa"/>
            <w:gridSpan w:val="2"/>
            <w:tcBorders>
              <w:top w:val="single" w:color="000000" w:sz="2" w:space="0"/>
              <w:bottom w:val="single" w:color="000000" w:sz="2" w:space="0"/>
            </w:tcBorders>
            <w:noWrap w:val="0"/>
            <w:vAlign w:val="top"/>
          </w:tcPr>
          <w:p>
            <w:pPr>
              <w:spacing w:before="64" w:line="220" w:lineRule="auto"/>
              <w:ind w:left="0" w:leftChars="0" w:right="215" w:firstLine="0" w:firstLineChars="0"/>
              <w:rPr>
                <w:rFonts w:ascii="宋体" w:hAnsi="宋体" w:eastAsia="宋体" w:cs="宋体"/>
                <w:sz w:val="21"/>
                <w:szCs w:val="21"/>
              </w:rPr>
            </w:pPr>
            <w:r>
              <w:rPr>
                <w:rFonts w:ascii="宋体" w:hAnsi="宋体" w:eastAsia="宋体" w:cs="宋体"/>
                <w:spacing w:val="-3"/>
                <w:sz w:val="21"/>
                <w:szCs w:val="21"/>
              </w:rPr>
              <w:t>加油站</w:t>
            </w:r>
            <w:r>
              <w:rPr>
                <w:rFonts w:ascii="宋体" w:hAnsi="宋体" w:eastAsia="宋体" w:cs="宋体"/>
                <w:spacing w:val="-10"/>
                <w:sz w:val="21"/>
                <w:szCs w:val="21"/>
              </w:rPr>
              <w:t>名</w:t>
            </w:r>
            <w:r>
              <w:rPr>
                <w:rFonts w:ascii="宋体" w:hAnsi="宋体" w:eastAsia="宋体" w:cs="宋体"/>
                <w:sz w:val="21"/>
                <w:szCs w:val="21"/>
              </w:rPr>
              <w:t xml:space="preserve"> </w:t>
            </w:r>
            <w:r>
              <w:rPr>
                <w:rFonts w:ascii="宋体" w:hAnsi="宋体" w:eastAsia="宋体" w:cs="宋体"/>
                <w:spacing w:val="-10"/>
                <w:sz w:val="21"/>
                <w:szCs w:val="21"/>
              </w:rPr>
              <w:t>称</w:t>
            </w:r>
          </w:p>
        </w:tc>
        <w:tc>
          <w:tcPr>
            <w:tcW w:w="7122" w:type="dxa"/>
            <w:gridSpan w:val="7"/>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5" w:hRule="atLeast"/>
        </w:trPr>
        <w:tc>
          <w:tcPr>
            <w:tcW w:w="543" w:type="dxa"/>
            <w:vMerge w:val="continue"/>
            <w:tcBorders>
              <w:top w:val="nil"/>
              <w:bottom w:val="nil"/>
            </w:tcBorders>
            <w:noWrap w:val="0"/>
            <w:textDirection w:val="tbRlV"/>
            <w:vAlign w:val="top"/>
          </w:tcPr>
          <w:p>
            <w:pPr>
              <w:rPr>
                <w:rFonts w:ascii="宋体" w:hAnsi="宋体"/>
                <w:sz w:val="21"/>
              </w:rPr>
            </w:pPr>
          </w:p>
        </w:tc>
        <w:tc>
          <w:tcPr>
            <w:tcW w:w="1262" w:type="dxa"/>
            <w:gridSpan w:val="2"/>
            <w:tcBorders>
              <w:top w:val="single" w:color="000000" w:sz="2" w:space="0"/>
              <w:bottom w:val="single" w:color="000000" w:sz="2" w:space="0"/>
            </w:tcBorders>
            <w:noWrap w:val="0"/>
            <w:vAlign w:val="top"/>
          </w:tcPr>
          <w:p>
            <w:pPr>
              <w:spacing w:before="154" w:line="220" w:lineRule="auto"/>
              <w:ind w:left="0" w:leftChars="0" w:firstLine="214" w:firstLineChars="100"/>
              <w:rPr>
                <w:rFonts w:ascii="宋体" w:hAnsi="宋体" w:eastAsia="宋体" w:cs="宋体"/>
                <w:sz w:val="21"/>
                <w:szCs w:val="21"/>
              </w:rPr>
            </w:pPr>
            <w:r>
              <w:rPr>
                <w:rFonts w:ascii="宋体" w:hAnsi="宋体" w:eastAsia="宋体" w:cs="宋体"/>
                <w:spacing w:val="2"/>
                <w:sz w:val="21"/>
                <w:szCs w:val="21"/>
              </w:rPr>
              <w:t>建站地址</w:t>
            </w:r>
          </w:p>
        </w:tc>
        <w:tc>
          <w:tcPr>
            <w:tcW w:w="4150" w:type="dxa"/>
            <w:gridSpan w:val="3"/>
            <w:tcBorders>
              <w:top w:val="single" w:color="000000" w:sz="2" w:space="0"/>
              <w:bottom w:val="single" w:color="000000" w:sz="2" w:space="0"/>
            </w:tcBorders>
            <w:noWrap w:val="0"/>
            <w:vAlign w:val="top"/>
          </w:tcPr>
          <w:p>
            <w:pPr>
              <w:rPr>
                <w:rFonts w:ascii="宋体" w:hAnsi="宋体"/>
                <w:sz w:val="21"/>
              </w:rPr>
            </w:pPr>
          </w:p>
        </w:tc>
        <w:tc>
          <w:tcPr>
            <w:tcW w:w="1413" w:type="dxa"/>
            <w:gridSpan w:val="3"/>
            <w:tcBorders>
              <w:top w:val="single" w:color="000000" w:sz="2" w:space="0"/>
              <w:bottom w:val="single" w:color="000000" w:sz="2" w:space="0"/>
            </w:tcBorders>
            <w:noWrap w:val="0"/>
            <w:vAlign w:val="top"/>
          </w:tcPr>
          <w:p>
            <w:pPr>
              <w:spacing w:before="95" w:line="219" w:lineRule="auto"/>
              <w:ind w:left="0" w:leftChars="0" w:firstLine="218" w:firstLineChars="100"/>
              <w:rPr>
                <w:rFonts w:ascii="宋体" w:hAnsi="宋体" w:eastAsia="宋体" w:cs="宋体"/>
                <w:sz w:val="21"/>
                <w:szCs w:val="21"/>
              </w:rPr>
            </w:pPr>
            <w:r>
              <w:rPr>
                <w:rFonts w:ascii="宋体" w:hAnsi="宋体" w:eastAsia="宋体" w:cs="宋体"/>
                <w:spacing w:val="4"/>
                <w:sz w:val="21"/>
                <w:szCs w:val="21"/>
              </w:rPr>
              <w:t>位置类别</w:t>
            </w:r>
          </w:p>
        </w:tc>
        <w:tc>
          <w:tcPr>
            <w:tcW w:w="1559"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5" w:hRule="atLeast"/>
        </w:trPr>
        <w:tc>
          <w:tcPr>
            <w:tcW w:w="543" w:type="dxa"/>
            <w:vMerge w:val="continue"/>
            <w:tcBorders>
              <w:top w:val="nil"/>
              <w:bottom w:val="nil"/>
            </w:tcBorders>
            <w:noWrap w:val="0"/>
            <w:textDirection w:val="tbRlV"/>
            <w:vAlign w:val="top"/>
          </w:tcPr>
          <w:p>
            <w:pPr>
              <w:rPr>
                <w:rFonts w:ascii="宋体" w:hAnsi="宋体"/>
                <w:sz w:val="21"/>
              </w:rPr>
            </w:pPr>
          </w:p>
        </w:tc>
        <w:tc>
          <w:tcPr>
            <w:tcW w:w="1262" w:type="dxa"/>
            <w:gridSpan w:val="2"/>
            <w:tcBorders>
              <w:top w:val="single" w:color="000000" w:sz="2" w:space="0"/>
              <w:bottom w:val="single" w:color="000000" w:sz="2" w:space="0"/>
            </w:tcBorders>
            <w:noWrap w:val="0"/>
            <w:vAlign w:val="top"/>
          </w:tcPr>
          <w:p>
            <w:pPr>
              <w:spacing w:before="135" w:line="220" w:lineRule="auto"/>
              <w:ind w:left="0" w:leftChars="0" w:firstLine="210" w:firstLineChars="100"/>
              <w:rPr>
                <w:rFonts w:ascii="宋体" w:hAnsi="宋体" w:eastAsia="宋体" w:cs="宋体"/>
                <w:sz w:val="21"/>
                <w:szCs w:val="21"/>
              </w:rPr>
            </w:pPr>
            <w:r>
              <w:rPr>
                <w:rFonts w:ascii="宋体" w:hAnsi="宋体" w:eastAsia="宋体" w:cs="宋体"/>
                <w:sz w:val="21"/>
                <w:szCs w:val="21"/>
              </w:rPr>
              <w:t>占地面积</w:t>
            </w:r>
          </w:p>
        </w:tc>
        <w:tc>
          <w:tcPr>
            <w:tcW w:w="4150" w:type="dxa"/>
            <w:gridSpan w:val="3"/>
            <w:tcBorders>
              <w:top w:val="single" w:color="000000" w:sz="2" w:space="0"/>
              <w:bottom w:val="single" w:color="000000" w:sz="2" w:space="0"/>
            </w:tcBorders>
            <w:noWrap w:val="0"/>
            <w:vAlign w:val="top"/>
          </w:tcPr>
          <w:p>
            <w:pPr>
              <w:spacing w:before="85" w:line="241" w:lineRule="auto"/>
              <w:ind w:firstLine="3641"/>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仿宋" w:hAnsi="仿宋" w:eastAsia="仿宋" w:cs="仿宋"/>
                <w:i w:val="0"/>
                <w:iCs w:val="0"/>
                <w:caps w:val="0"/>
                <w:color w:val="333333"/>
                <w:spacing w:val="0"/>
                <w:sz w:val="21"/>
                <w:szCs w:val="21"/>
              </w:rPr>
              <w:t>㎡</w:t>
            </w:r>
          </w:p>
        </w:tc>
        <w:tc>
          <w:tcPr>
            <w:tcW w:w="1413" w:type="dxa"/>
            <w:gridSpan w:val="3"/>
            <w:tcBorders>
              <w:top w:val="single" w:color="000000" w:sz="2" w:space="0"/>
              <w:bottom w:val="single" w:color="000000" w:sz="2" w:space="0"/>
            </w:tcBorders>
            <w:noWrap w:val="0"/>
            <w:vAlign w:val="top"/>
          </w:tcPr>
          <w:p>
            <w:pPr>
              <w:spacing w:before="85" w:line="219" w:lineRule="auto"/>
              <w:ind w:left="0" w:leftChars="0" w:firstLine="216" w:firstLineChars="100"/>
              <w:rPr>
                <w:rFonts w:ascii="宋体" w:hAnsi="宋体" w:eastAsia="宋体" w:cs="宋体"/>
                <w:sz w:val="21"/>
                <w:szCs w:val="21"/>
              </w:rPr>
            </w:pPr>
            <w:r>
              <w:rPr>
                <w:rFonts w:ascii="宋体" w:hAnsi="宋体" w:eastAsia="宋体" w:cs="宋体"/>
                <w:spacing w:val="3"/>
                <w:sz w:val="21"/>
                <w:szCs w:val="21"/>
              </w:rPr>
              <w:t>罩棚面积</w:t>
            </w:r>
          </w:p>
        </w:tc>
        <w:tc>
          <w:tcPr>
            <w:tcW w:w="1559" w:type="dxa"/>
            <w:tcBorders>
              <w:top w:val="single" w:color="000000" w:sz="2" w:space="0"/>
              <w:bottom w:val="single" w:color="000000" w:sz="2" w:space="0"/>
            </w:tcBorders>
            <w:noWrap w:val="0"/>
            <w:vAlign w:val="top"/>
          </w:tcPr>
          <w:p>
            <w:pPr>
              <w:spacing w:before="139" w:line="195" w:lineRule="auto"/>
              <w:ind w:firstLine="840" w:firstLineChars="400"/>
              <w:rPr>
                <w:rFonts w:ascii="宋体" w:hAnsi="宋体" w:eastAsia="宋体" w:cs="宋体"/>
                <w:sz w:val="13"/>
                <w:szCs w:val="13"/>
              </w:rPr>
            </w:pPr>
            <w:r>
              <w:rPr>
                <w:rFonts w:hint="eastAsia" w:ascii="仿宋" w:hAnsi="仿宋" w:eastAsia="仿宋" w:cs="仿宋"/>
                <w:i w:val="0"/>
                <w:iCs w:val="0"/>
                <w:caps w:val="0"/>
                <w:color w:val="333333"/>
                <w:spacing w:val="0"/>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4" w:hRule="atLeast"/>
        </w:trPr>
        <w:tc>
          <w:tcPr>
            <w:tcW w:w="543" w:type="dxa"/>
            <w:vMerge w:val="continue"/>
            <w:tcBorders>
              <w:top w:val="nil"/>
              <w:bottom w:val="nil"/>
            </w:tcBorders>
            <w:noWrap w:val="0"/>
            <w:textDirection w:val="tbRlV"/>
            <w:vAlign w:val="top"/>
          </w:tcPr>
          <w:p>
            <w:pPr>
              <w:rPr>
                <w:rFonts w:ascii="宋体" w:hAnsi="宋体"/>
                <w:sz w:val="21"/>
              </w:rPr>
            </w:pPr>
          </w:p>
        </w:tc>
        <w:tc>
          <w:tcPr>
            <w:tcW w:w="1262" w:type="dxa"/>
            <w:gridSpan w:val="2"/>
            <w:tcBorders>
              <w:top w:val="single" w:color="000000" w:sz="2" w:space="0"/>
              <w:bottom w:val="single" w:color="000000" w:sz="2" w:space="0"/>
            </w:tcBorders>
            <w:noWrap w:val="0"/>
            <w:vAlign w:val="top"/>
          </w:tcPr>
          <w:p>
            <w:pPr>
              <w:spacing w:before="194" w:line="219" w:lineRule="auto"/>
              <w:ind w:left="0" w:leftChars="0" w:firstLine="206" w:firstLineChars="100"/>
              <w:rPr>
                <w:rFonts w:ascii="宋体" w:hAnsi="宋体" w:eastAsia="宋体" w:cs="宋体"/>
                <w:sz w:val="21"/>
                <w:szCs w:val="21"/>
              </w:rPr>
            </w:pPr>
            <w:r>
              <w:rPr>
                <w:rFonts w:ascii="宋体" w:hAnsi="宋体" w:eastAsia="宋体" w:cs="宋体"/>
                <w:spacing w:val="-2"/>
                <w:sz w:val="21"/>
                <w:szCs w:val="21"/>
              </w:rPr>
              <w:t>加油机</w:t>
            </w:r>
          </w:p>
        </w:tc>
        <w:tc>
          <w:tcPr>
            <w:tcW w:w="4150" w:type="dxa"/>
            <w:gridSpan w:val="3"/>
            <w:tcBorders>
              <w:top w:val="single" w:color="000000" w:sz="2" w:space="0"/>
              <w:bottom w:val="single" w:color="000000" w:sz="2" w:space="0"/>
            </w:tcBorders>
            <w:noWrap w:val="0"/>
            <w:vAlign w:val="top"/>
          </w:tcPr>
          <w:p>
            <w:pPr>
              <w:spacing w:before="195" w:line="221" w:lineRule="auto"/>
              <w:ind w:firstLine="3360" w:firstLineChars="1600"/>
              <w:rPr>
                <w:rFonts w:ascii="宋体" w:hAnsi="宋体" w:eastAsia="宋体" w:cs="宋体"/>
                <w:sz w:val="21"/>
                <w:szCs w:val="21"/>
              </w:rPr>
            </w:pPr>
            <w:r>
              <w:rPr>
                <w:rFonts w:ascii="宋体" w:hAnsi="宋体" w:eastAsia="宋体" w:cs="宋体"/>
                <w:sz w:val="21"/>
                <w:szCs w:val="21"/>
              </w:rPr>
              <w:t>台</w:t>
            </w:r>
          </w:p>
        </w:tc>
        <w:tc>
          <w:tcPr>
            <w:tcW w:w="1413" w:type="dxa"/>
            <w:gridSpan w:val="3"/>
            <w:tcBorders>
              <w:top w:val="single" w:color="000000" w:sz="2" w:space="0"/>
              <w:bottom w:val="single" w:color="000000" w:sz="2" w:space="0"/>
            </w:tcBorders>
            <w:noWrap w:val="0"/>
            <w:vAlign w:val="top"/>
          </w:tcPr>
          <w:p>
            <w:pPr>
              <w:spacing w:before="195" w:line="219" w:lineRule="auto"/>
              <w:ind w:left="0" w:leftChars="0" w:firstLine="412" w:firstLineChars="200"/>
              <w:rPr>
                <w:rFonts w:ascii="宋体" w:hAnsi="宋体" w:eastAsia="宋体" w:cs="宋体"/>
                <w:sz w:val="21"/>
                <w:szCs w:val="21"/>
              </w:rPr>
            </w:pPr>
            <w:r>
              <w:rPr>
                <w:rFonts w:ascii="宋体" w:hAnsi="宋体" w:eastAsia="宋体" w:cs="宋体"/>
                <w:spacing w:val="-2"/>
                <w:sz w:val="21"/>
                <w:szCs w:val="21"/>
              </w:rPr>
              <w:t>加油枪</w:t>
            </w:r>
          </w:p>
        </w:tc>
        <w:tc>
          <w:tcPr>
            <w:tcW w:w="1559" w:type="dxa"/>
            <w:tcBorders>
              <w:top w:val="single" w:color="000000" w:sz="2" w:space="0"/>
              <w:bottom w:val="single" w:color="000000" w:sz="2" w:space="0"/>
            </w:tcBorders>
            <w:noWrap w:val="0"/>
            <w:vAlign w:val="top"/>
          </w:tcPr>
          <w:p>
            <w:pPr>
              <w:spacing w:before="195" w:line="220" w:lineRule="auto"/>
              <w:ind w:firstLine="840" w:firstLineChars="400"/>
              <w:rPr>
                <w:rFonts w:ascii="宋体" w:hAnsi="宋体" w:eastAsia="宋体" w:cs="宋体"/>
                <w:sz w:val="21"/>
                <w:szCs w:val="21"/>
              </w:rPr>
            </w:pPr>
            <w:r>
              <w:rPr>
                <w:rFonts w:ascii="宋体" w:hAnsi="宋体" w:eastAsia="宋体" w:cs="宋体"/>
                <w:sz w:val="21"/>
                <w:szCs w:val="21"/>
              </w:rPr>
              <w:t>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5" w:hRule="atLeast"/>
        </w:trPr>
        <w:tc>
          <w:tcPr>
            <w:tcW w:w="543" w:type="dxa"/>
            <w:vMerge w:val="continue"/>
            <w:tcBorders>
              <w:top w:val="nil"/>
              <w:bottom w:val="nil"/>
            </w:tcBorders>
            <w:noWrap w:val="0"/>
            <w:textDirection w:val="tbRlV"/>
            <w:vAlign w:val="top"/>
          </w:tcPr>
          <w:p>
            <w:pPr>
              <w:rPr>
                <w:rFonts w:ascii="宋体" w:hAnsi="宋体"/>
                <w:sz w:val="21"/>
              </w:rPr>
            </w:pPr>
          </w:p>
        </w:tc>
        <w:tc>
          <w:tcPr>
            <w:tcW w:w="2732" w:type="dxa"/>
            <w:gridSpan w:val="3"/>
            <w:tcBorders>
              <w:top w:val="single" w:color="000000" w:sz="2" w:space="0"/>
              <w:bottom w:val="single" w:color="000000" w:sz="2" w:space="0"/>
            </w:tcBorders>
            <w:noWrap w:val="0"/>
            <w:vAlign w:val="top"/>
          </w:tcPr>
          <w:p>
            <w:pPr>
              <w:spacing w:before="56" w:line="219" w:lineRule="auto"/>
              <w:ind w:firstLine="1040"/>
              <w:rPr>
                <w:rFonts w:ascii="宋体" w:hAnsi="宋体" w:eastAsia="宋体" w:cs="宋体"/>
                <w:sz w:val="21"/>
                <w:szCs w:val="21"/>
              </w:rPr>
            </w:pPr>
            <w:r>
              <w:rPr>
                <w:rFonts w:ascii="宋体" w:hAnsi="宋体" w:eastAsia="宋体" w:cs="宋体"/>
                <w:spacing w:val="-2"/>
                <w:sz w:val="21"/>
                <w:szCs w:val="21"/>
              </w:rPr>
              <w:t>汽油罐</w:t>
            </w:r>
          </w:p>
        </w:tc>
        <w:tc>
          <w:tcPr>
            <w:tcW w:w="2680" w:type="dxa"/>
            <w:gridSpan w:val="2"/>
            <w:tcBorders>
              <w:top w:val="single" w:color="000000" w:sz="2" w:space="0"/>
              <w:bottom w:val="single" w:color="000000" w:sz="2" w:space="0"/>
            </w:tcBorders>
            <w:noWrap w:val="0"/>
            <w:vAlign w:val="top"/>
          </w:tcPr>
          <w:p>
            <w:pPr>
              <w:spacing w:before="56" w:line="219" w:lineRule="auto"/>
              <w:ind w:firstLine="1023"/>
              <w:rPr>
                <w:rFonts w:ascii="宋体" w:hAnsi="宋体" w:eastAsia="宋体" w:cs="宋体"/>
                <w:sz w:val="21"/>
                <w:szCs w:val="21"/>
              </w:rPr>
            </w:pPr>
            <w:r>
              <w:rPr>
                <w:rFonts w:ascii="宋体" w:hAnsi="宋体" w:eastAsia="宋体" w:cs="宋体"/>
                <w:spacing w:val="-2"/>
                <w:sz w:val="21"/>
                <w:szCs w:val="21"/>
              </w:rPr>
              <w:t>柴油罐</w:t>
            </w:r>
          </w:p>
        </w:tc>
        <w:tc>
          <w:tcPr>
            <w:tcW w:w="2972" w:type="dxa"/>
            <w:gridSpan w:val="4"/>
            <w:tcBorders>
              <w:top w:val="single" w:color="000000" w:sz="2" w:space="0"/>
              <w:bottom w:val="single" w:color="000000" w:sz="2" w:space="0"/>
            </w:tcBorders>
            <w:noWrap w:val="0"/>
            <w:vAlign w:val="top"/>
          </w:tcPr>
          <w:p>
            <w:pPr>
              <w:spacing w:before="36" w:line="219" w:lineRule="auto"/>
              <w:ind w:firstLine="1171"/>
              <w:rPr>
                <w:rFonts w:ascii="宋体" w:hAnsi="宋体" w:eastAsia="宋体" w:cs="宋体"/>
                <w:sz w:val="21"/>
                <w:szCs w:val="21"/>
              </w:rPr>
            </w:pPr>
            <w:r>
              <w:rPr>
                <w:rFonts w:ascii="宋体" w:hAnsi="宋体" w:eastAsia="宋体" w:cs="宋体"/>
                <w:spacing w:val="-3"/>
                <w:sz w:val="21"/>
                <w:szCs w:val="21"/>
              </w:rPr>
              <w:t>煤油罐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5" w:hRule="atLeast"/>
        </w:trPr>
        <w:tc>
          <w:tcPr>
            <w:tcW w:w="543" w:type="dxa"/>
            <w:vMerge w:val="continue"/>
            <w:tcBorders>
              <w:top w:val="nil"/>
              <w:bottom w:val="nil"/>
            </w:tcBorders>
            <w:noWrap w:val="0"/>
            <w:textDirection w:val="tbRlV"/>
            <w:vAlign w:val="top"/>
          </w:tcPr>
          <w:p>
            <w:pPr>
              <w:rPr>
                <w:rFonts w:ascii="宋体" w:hAnsi="宋体"/>
                <w:sz w:val="21"/>
              </w:rPr>
            </w:pPr>
          </w:p>
        </w:tc>
        <w:tc>
          <w:tcPr>
            <w:tcW w:w="1171" w:type="dxa"/>
            <w:tcBorders>
              <w:top w:val="single" w:color="000000" w:sz="2" w:space="0"/>
              <w:bottom w:val="single" w:color="000000" w:sz="2" w:space="0"/>
            </w:tcBorders>
            <w:noWrap w:val="0"/>
            <w:vAlign w:val="top"/>
          </w:tcPr>
          <w:p>
            <w:pPr>
              <w:spacing w:before="186" w:line="219" w:lineRule="auto"/>
              <w:ind w:firstLine="120"/>
              <w:rPr>
                <w:rFonts w:ascii="宋体" w:hAnsi="宋体" w:eastAsia="宋体" w:cs="宋体"/>
                <w:sz w:val="21"/>
                <w:szCs w:val="21"/>
              </w:rPr>
            </w:pPr>
            <w:r>
              <w:rPr>
                <w:rFonts w:ascii="宋体" w:hAnsi="宋体" w:eastAsia="宋体" w:cs="宋体"/>
                <w:spacing w:val="-3"/>
                <w:sz w:val="21"/>
                <w:szCs w:val="21"/>
              </w:rPr>
              <w:t>个数</w:t>
            </w:r>
          </w:p>
        </w:tc>
        <w:tc>
          <w:tcPr>
            <w:tcW w:w="1561" w:type="dxa"/>
            <w:gridSpan w:val="2"/>
            <w:tcBorders>
              <w:top w:val="single" w:color="000000" w:sz="2" w:space="0"/>
              <w:bottom w:val="single" w:color="000000" w:sz="2" w:space="0"/>
            </w:tcBorders>
            <w:noWrap w:val="0"/>
            <w:vAlign w:val="top"/>
          </w:tcPr>
          <w:p>
            <w:pPr>
              <w:spacing w:before="86" w:line="220" w:lineRule="auto"/>
              <w:ind w:left="0" w:leftChars="0" w:firstLine="230" w:firstLineChars="100"/>
              <w:rPr>
                <w:rFonts w:ascii="宋体" w:hAnsi="宋体" w:eastAsia="宋体" w:cs="宋体"/>
                <w:sz w:val="21"/>
                <w:szCs w:val="21"/>
              </w:rPr>
            </w:pPr>
            <w:r>
              <w:rPr>
                <w:rFonts w:ascii="宋体" w:hAnsi="宋体" w:eastAsia="宋体" w:cs="宋体"/>
                <w:spacing w:val="10"/>
                <w:sz w:val="21"/>
                <w:szCs w:val="21"/>
              </w:rPr>
              <w:t>总容积</w:t>
            </w:r>
            <w:r>
              <w:rPr>
                <w:rFonts w:ascii="宋体" w:hAnsi="宋体" w:eastAsia="宋体" w:cs="宋体"/>
                <w:spacing w:val="-30"/>
                <w:sz w:val="21"/>
                <w:szCs w:val="21"/>
              </w:rPr>
              <w:t xml:space="preserve"> </w:t>
            </w:r>
            <w:r>
              <w:rPr>
                <w:rFonts w:ascii="宋体" w:hAnsi="宋体" w:eastAsia="宋体" w:cs="宋体"/>
                <w:spacing w:val="10"/>
                <w:sz w:val="21"/>
                <w:szCs w:val="21"/>
              </w:rPr>
              <w:t>(</w:t>
            </w:r>
            <w:r>
              <w:rPr>
                <w:rFonts w:ascii="宋体" w:hAnsi="宋体" w:eastAsia="宋体" w:cs="宋体"/>
                <w:spacing w:val="-9"/>
                <w:sz w:val="21"/>
                <w:szCs w:val="21"/>
              </w:rPr>
              <w:t>m³</w:t>
            </w:r>
            <w:r>
              <w:rPr>
                <w:rFonts w:ascii="宋体" w:hAnsi="宋体" w:eastAsia="宋体" w:cs="宋体"/>
                <w:spacing w:val="10"/>
                <w:sz w:val="21"/>
                <w:szCs w:val="21"/>
              </w:rPr>
              <w:t>)</w:t>
            </w:r>
          </w:p>
        </w:tc>
        <w:tc>
          <w:tcPr>
            <w:tcW w:w="1289" w:type="dxa"/>
            <w:tcBorders>
              <w:top w:val="single" w:color="000000" w:sz="2" w:space="0"/>
              <w:bottom w:val="single" w:color="000000" w:sz="2" w:space="0"/>
            </w:tcBorders>
            <w:noWrap w:val="0"/>
            <w:vAlign w:val="top"/>
          </w:tcPr>
          <w:p>
            <w:pPr>
              <w:spacing w:before="186" w:line="219" w:lineRule="auto"/>
              <w:ind w:firstLine="584"/>
              <w:rPr>
                <w:rFonts w:ascii="宋体" w:hAnsi="宋体" w:eastAsia="宋体" w:cs="宋体"/>
                <w:sz w:val="21"/>
                <w:szCs w:val="21"/>
              </w:rPr>
            </w:pPr>
            <w:r>
              <w:rPr>
                <w:rFonts w:ascii="宋体" w:hAnsi="宋体" w:eastAsia="宋体" w:cs="宋体"/>
                <w:spacing w:val="-3"/>
                <w:sz w:val="21"/>
                <w:szCs w:val="21"/>
              </w:rPr>
              <w:t>个数</w:t>
            </w:r>
          </w:p>
        </w:tc>
        <w:tc>
          <w:tcPr>
            <w:tcW w:w="1391" w:type="dxa"/>
            <w:tcBorders>
              <w:top w:val="single" w:color="000000" w:sz="2" w:space="0"/>
              <w:bottom w:val="single" w:color="000000" w:sz="2" w:space="0"/>
            </w:tcBorders>
            <w:noWrap w:val="0"/>
            <w:vAlign w:val="top"/>
          </w:tcPr>
          <w:p>
            <w:pPr>
              <w:spacing w:before="36" w:line="220" w:lineRule="auto"/>
              <w:ind w:left="0" w:leftChars="0" w:firstLine="218" w:firstLineChars="100"/>
              <w:rPr>
                <w:rFonts w:ascii="宋体" w:hAnsi="宋体" w:eastAsia="宋体" w:cs="宋体"/>
                <w:sz w:val="21"/>
                <w:szCs w:val="21"/>
              </w:rPr>
            </w:pPr>
            <w:r>
              <w:rPr>
                <w:rFonts w:ascii="宋体" w:hAnsi="宋体" w:eastAsia="宋体" w:cs="宋体"/>
                <w:spacing w:val="4"/>
                <w:sz w:val="21"/>
                <w:szCs w:val="21"/>
              </w:rPr>
              <w:t>总容积</w:t>
            </w:r>
            <w:r>
              <w:rPr>
                <w:rFonts w:ascii="宋体" w:hAnsi="宋体" w:eastAsia="宋体" w:cs="宋体"/>
                <w:spacing w:val="-9"/>
                <w:sz w:val="21"/>
                <w:szCs w:val="21"/>
              </w:rPr>
              <w:t>(m³)</w:t>
            </w:r>
          </w:p>
        </w:tc>
        <w:tc>
          <w:tcPr>
            <w:tcW w:w="1261" w:type="dxa"/>
            <w:gridSpan w:val="2"/>
            <w:tcBorders>
              <w:top w:val="single" w:color="000000" w:sz="2" w:space="0"/>
              <w:bottom w:val="single" w:color="000000" w:sz="2" w:space="0"/>
            </w:tcBorders>
            <w:noWrap w:val="0"/>
            <w:vAlign w:val="top"/>
          </w:tcPr>
          <w:p>
            <w:pPr>
              <w:spacing w:before="186" w:line="219" w:lineRule="auto"/>
              <w:ind w:firstLine="440"/>
              <w:rPr>
                <w:rFonts w:ascii="宋体" w:hAnsi="宋体" w:eastAsia="宋体" w:cs="宋体"/>
                <w:sz w:val="21"/>
                <w:szCs w:val="21"/>
              </w:rPr>
            </w:pPr>
            <w:r>
              <w:rPr>
                <w:rFonts w:ascii="宋体" w:hAnsi="宋体" w:eastAsia="宋体" w:cs="宋体"/>
                <w:spacing w:val="-3"/>
                <w:sz w:val="21"/>
                <w:szCs w:val="21"/>
              </w:rPr>
              <w:t>个数</w:t>
            </w:r>
          </w:p>
        </w:tc>
        <w:tc>
          <w:tcPr>
            <w:tcW w:w="1711" w:type="dxa"/>
            <w:gridSpan w:val="2"/>
            <w:tcBorders>
              <w:top w:val="single" w:color="000000" w:sz="2" w:space="0"/>
              <w:bottom w:val="single" w:color="000000" w:sz="2" w:space="0"/>
            </w:tcBorders>
            <w:noWrap w:val="0"/>
            <w:vAlign w:val="top"/>
          </w:tcPr>
          <w:p>
            <w:pPr>
              <w:spacing w:before="96" w:line="220" w:lineRule="auto"/>
              <w:ind w:left="0" w:leftChars="0" w:firstLine="230" w:firstLineChars="100"/>
              <w:rPr>
                <w:rFonts w:ascii="宋体" w:hAnsi="宋体" w:eastAsia="宋体" w:cs="宋体"/>
                <w:sz w:val="21"/>
                <w:szCs w:val="21"/>
              </w:rPr>
            </w:pPr>
            <w:r>
              <w:rPr>
                <w:rFonts w:ascii="宋体" w:hAnsi="宋体" w:eastAsia="宋体" w:cs="宋体"/>
                <w:spacing w:val="10"/>
                <w:sz w:val="21"/>
                <w:szCs w:val="21"/>
              </w:rPr>
              <w:t>总容积</w:t>
            </w:r>
            <w:r>
              <w:rPr>
                <w:rFonts w:ascii="宋体" w:hAnsi="宋体" w:eastAsia="宋体" w:cs="宋体"/>
                <w:spacing w:val="-30"/>
                <w:sz w:val="21"/>
                <w:szCs w:val="21"/>
              </w:rPr>
              <w:t xml:space="preserve"> </w:t>
            </w:r>
            <w:r>
              <w:rPr>
                <w:rFonts w:ascii="宋体" w:hAnsi="宋体" w:eastAsia="宋体" w:cs="宋体"/>
                <w:spacing w:val="10"/>
                <w:sz w:val="21"/>
                <w:szCs w:val="21"/>
              </w:rPr>
              <w:t>(</w:t>
            </w:r>
            <w:r>
              <w:rPr>
                <w:rFonts w:ascii="宋体" w:hAnsi="宋体" w:eastAsia="宋体" w:cs="宋体"/>
                <w:spacing w:val="-9"/>
                <w:sz w:val="21"/>
                <w:szCs w:val="21"/>
              </w:rPr>
              <w:t>m³</w:t>
            </w:r>
            <w:r>
              <w:rPr>
                <w:rFonts w:ascii="宋体" w:hAnsi="宋体" w:eastAsia="宋体" w:cs="宋体"/>
                <w:spacing w:val="10"/>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4" w:hRule="atLeast"/>
        </w:trPr>
        <w:tc>
          <w:tcPr>
            <w:tcW w:w="543" w:type="dxa"/>
            <w:vMerge w:val="continue"/>
            <w:tcBorders>
              <w:top w:val="nil"/>
              <w:bottom w:val="nil"/>
            </w:tcBorders>
            <w:noWrap w:val="0"/>
            <w:textDirection w:val="tbRlV"/>
            <w:vAlign w:val="top"/>
          </w:tcPr>
          <w:p>
            <w:pPr>
              <w:rPr>
                <w:rFonts w:ascii="宋体" w:hAnsi="宋体"/>
                <w:sz w:val="21"/>
              </w:rPr>
            </w:pPr>
          </w:p>
        </w:tc>
        <w:tc>
          <w:tcPr>
            <w:tcW w:w="1171" w:type="dxa"/>
            <w:tcBorders>
              <w:top w:val="single" w:color="000000" w:sz="2" w:space="0"/>
              <w:bottom w:val="single" w:color="000000" w:sz="2" w:space="0"/>
            </w:tcBorders>
            <w:noWrap w:val="0"/>
            <w:vAlign w:val="top"/>
          </w:tcPr>
          <w:p>
            <w:pPr>
              <w:rPr>
                <w:rFonts w:ascii="宋体" w:hAnsi="宋体"/>
                <w:sz w:val="21"/>
              </w:rPr>
            </w:pPr>
          </w:p>
        </w:tc>
        <w:tc>
          <w:tcPr>
            <w:tcW w:w="1561" w:type="dxa"/>
            <w:gridSpan w:val="2"/>
            <w:tcBorders>
              <w:top w:val="single" w:color="000000" w:sz="2" w:space="0"/>
              <w:bottom w:val="single" w:color="000000" w:sz="2" w:space="0"/>
            </w:tcBorders>
            <w:noWrap w:val="0"/>
            <w:vAlign w:val="top"/>
          </w:tcPr>
          <w:p>
            <w:pPr>
              <w:rPr>
                <w:rFonts w:ascii="宋体" w:hAnsi="宋体"/>
                <w:sz w:val="21"/>
              </w:rPr>
            </w:pPr>
          </w:p>
        </w:tc>
        <w:tc>
          <w:tcPr>
            <w:tcW w:w="1289" w:type="dxa"/>
            <w:tcBorders>
              <w:top w:val="single" w:color="000000" w:sz="2" w:space="0"/>
              <w:bottom w:val="single" w:color="000000" w:sz="2" w:space="0"/>
            </w:tcBorders>
            <w:noWrap w:val="0"/>
            <w:vAlign w:val="top"/>
          </w:tcPr>
          <w:p>
            <w:pPr>
              <w:rPr>
                <w:rFonts w:ascii="宋体" w:hAnsi="宋体"/>
                <w:sz w:val="21"/>
              </w:rPr>
            </w:pPr>
          </w:p>
        </w:tc>
        <w:tc>
          <w:tcPr>
            <w:tcW w:w="1391" w:type="dxa"/>
            <w:tcBorders>
              <w:top w:val="single" w:color="000000" w:sz="2" w:space="0"/>
              <w:bottom w:val="single" w:color="000000" w:sz="2" w:space="0"/>
            </w:tcBorders>
            <w:noWrap w:val="0"/>
            <w:vAlign w:val="top"/>
          </w:tcPr>
          <w:p>
            <w:pPr>
              <w:rPr>
                <w:rFonts w:ascii="宋体" w:hAnsi="宋体"/>
                <w:sz w:val="21"/>
              </w:rPr>
            </w:pPr>
          </w:p>
        </w:tc>
        <w:tc>
          <w:tcPr>
            <w:tcW w:w="1261" w:type="dxa"/>
            <w:gridSpan w:val="2"/>
            <w:tcBorders>
              <w:top w:val="single" w:color="000000" w:sz="2" w:space="0"/>
              <w:bottom w:val="single" w:color="000000" w:sz="2" w:space="0"/>
            </w:tcBorders>
            <w:noWrap w:val="0"/>
            <w:vAlign w:val="top"/>
          </w:tcPr>
          <w:p>
            <w:pPr>
              <w:rPr>
                <w:rFonts w:ascii="宋体" w:hAnsi="宋体"/>
                <w:sz w:val="21"/>
              </w:rPr>
            </w:pPr>
          </w:p>
        </w:tc>
        <w:tc>
          <w:tcPr>
            <w:tcW w:w="1711" w:type="dxa"/>
            <w:gridSpan w:val="2"/>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14" w:hRule="atLeast"/>
        </w:trPr>
        <w:tc>
          <w:tcPr>
            <w:tcW w:w="543" w:type="dxa"/>
            <w:vMerge w:val="continue"/>
            <w:tcBorders>
              <w:top w:val="nil"/>
              <w:bottom w:val="single" w:color="000000" w:sz="2" w:space="0"/>
            </w:tcBorders>
            <w:noWrap w:val="0"/>
            <w:textDirection w:val="tbRlV"/>
            <w:vAlign w:val="top"/>
          </w:tcPr>
          <w:p>
            <w:pPr>
              <w:rPr>
                <w:rFonts w:ascii="宋体" w:hAnsi="宋体"/>
                <w:sz w:val="21"/>
              </w:rPr>
            </w:pPr>
          </w:p>
        </w:tc>
        <w:tc>
          <w:tcPr>
            <w:tcW w:w="1171" w:type="dxa"/>
            <w:tcBorders>
              <w:top w:val="single" w:color="000000" w:sz="2" w:space="0"/>
              <w:bottom w:val="single" w:color="000000" w:sz="2" w:space="0"/>
            </w:tcBorders>
            <w:noWrap w:val="0"/>
            <w:vAlign w:val="top"/>
          </w:tcPr>
          <w:p>
            <w:pPr>
              <w:spacing w:before="247" w:line="219" w:lineRule="auto"/>
              <w:ind w:left="0" w:leftChars="0" w:firstLine="206" w:firstLineChars="100"/>
              <w:rPr>
                <w:rFonts w:ascii="宋体" w:hAnsi="宋体" w:eastAsia="宋体" w:cs="宋体"/>
                <w:sz w:val="21"/>
                <w:szCs w:val="21"/>
              </w:rPr>
            </w:pPr>
            <w:r>
              <w:rPr>
                <w:rFonts w:ascii="宋体" w:hAnsi="宋体" w:eastAsia="宋体" w:cs="宋体"/>
                <w:spacing w:val="-2"/>
                <w:sz w:val="21"/>
                <w:szCs w:val="21"/>
              </w:rPr>
              <w:t>进油渠道</w:t>
            </w:r>
          </w:p>
        </w:tc>
        <w:tc>
          <w:tcPr>
            <w:tcW w:w="7213" w:type="dxa"/>
            <w:gridSpan w:val="8"/>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94" w:hRule="atLeast"/>
        </w:trPr>
        <w:tc>
          <w:tcPr>
            <w:tcW w:w="1714" w:type="dxa"/>
            <w:gridSpan w:val="2"/>
            <w:tcBorders>
              <w:top w:val="single" w:color="000000" w:sz="2" w:space="0"/>
              <w:bottom w:val="nil"/>
            </w:tcBorders>
            <w:noWrap w:val="0"/>
            <w:vAlign w:val="top"/>
          </w:tcPr>
          <w:p>
            <w:pPr>
              <w:spacing w:line="318" w:lineRule="auto"/>
              <w:rPr>
                <w:rFonts w:ascii="宋体" w:hAnsi="宋体"/>
                <w:sz w:val="21"/>
              </w:rPr>
            </w:pPr>
          </w:p>
          <w:p>
            <w:pPr>
              <w:spacing w:line="318" w:lineRule="auto"/>
              <w:rPr>
                <w:rFonts w:ascii="宋体" w:hAnsi="宋体"/>
                <w:sz w:val="21"/>
              </w:rPr>
            </w:pPr>
          </w:p>
          <w:p>
            <w:pPr>
              <w:spacing w:line="318" w:lineRule="auto"/>
              <w:rPr>
                <w:rFonts w:ascii="宋体" w:hAnsi="宋体"/>
                <w:sz w:val="21"/>
              </w:rPr>
            </w:pPr>
          </w:p>
          <w:p>
            <w:pPr>
              <w:spacing w:before="68" w:line="229" w:lineRule="auto"/>
              <w:ind w:firstLine="494"/>
              <w:rPr>
                <w:rFonts w:ascii="宋体" w:hAnsi="宋体" w:eastAsia="宋体" w:cs="宋体"/>
                <w:sz w:val="21"/>
                <w:szCs w:val="21"/>
              </w:rPr>
            </w:pPr>
            <w:r>
              <w:rPr>
                <w:rFonts w:ascii="宋体" w:hAnsi="宋体" w:eastAsia="宋体" w:cs="宋体"/>
                <w:spacing w:val="-6"/>
                <w:sz w:val="21"/>
                <w:szCs w:val="21"/>
              </w:rPr>
              <w:t>企</w:t>
            </w:r>
            <w:r>
              <w:rPr>
                <w:rFonts w:ascii="宋体" w:hAnsi="宋体" w:eastAsia="宋体" w:cs="宋体"/>
                <w:spacing w:val="51"/>
                <w:sz w:val="21"/>
                <w:szCs w:val="21"/>
              </w:rPr>
              <w:t xml:space="preserve">  </w:t>
            </w:r>
            <w:r>
              <w:rPr>
                <w:rFonts w:ascii="宋体" w:hAnsi="宋体" w:eastAsia="宋体" w:cs="宋体"/>
                <w:spacing w:val="-6"/>
                <w:sz w:val="21"/>
                <w:szCs w:val="21"/>
              </w:rPr>
              <w:t>业</w:t>
            </w:r>
          </w:p>
        </w:tc>
        <w:tc>
          <w:tcPr>
            <w:tcW w:w="7213" w:type="dxa"/>
            <w:gridSpan w:val="8"/>
            <w:tcBorders>
              <w:top w:val="single" w:color="000000" w:sz="2" w:space="0"/>
              <w:bottom w:val="nil"/>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44" w:hRule="atLeast"/>
        </w:trPr>
        <w:tc>
          <w:tcPr>
            <w:tcW w:w="1714" w:type="dxa"/>
            <w:gridSpan w:val="2"/>
            <w:vMerge w:val="restart"/>
            <w:tcBorders>
              <w:top w:val="nil"/>
              <w:bottom w:val="nil"/>
            </w:tcBorders>
            <w:noWrap w:val="0"/>
            <w:vAlign w:val="top"/>
          </w:tcPr>
          <w:p>
            <w:pPr>
              <w:spacing w:before="194" w:line="590" w:lineRule="exact"/>
              <w:ind w:firstLine="494"/>
              <w:rPr>
                <w:rFonts w:ascii="宋体" w:hAnsi="宋体" w:eastAsia="宋体" w:cs="宋体"/>
                <w:sz w:val="21"/>
                <w:szCs w:val="21"/>
              </w:rPr>
            </w:pPr>
            <w:r>
              <w:rPr>
                <w:rFonts w:ascii="宋体" w:hAnsi="宋体" w:eastAsia="宋体" w:cs="宋体"/>
                <w:spacing w:val="-18"/>
                <w:position w:val="29"/>
                <w:sz w:val="21"/>
                <w:szCs w:val="21"/>
              </w:rPr>
              <w:t>申</w:t>
            </w:r>
            <w:r>
              <w:rPr>
                <w:rFonts w:ascii="宋体" w:hAnsi="宋体" w:eastAsia="宋体" w:cs="宋体"/>
                <w:spacing w:val="7"/>
                <w:position w:val="29"/>
                <w:sz w:val="21"/>
                <w:szCs w:val="21"/>
              </w:rPr>
              <w:t xml:space="preserve">   </w:t>
            </w:r>
            <w:r>
              <w:rPr>
                <w:rFonts w:ascii="宋体" w:hAnsi="宋体" w:eastAsia="宋体" w:cs="宋体"/>
                <w:spacing w:val="-18"/>
                <w:position w:val="29"/>
                <w:sz w:val="21"/>
                <w:szCs w:val="21"/>
              </w:rPr>
              <w:t>报</w:t>
            </w:r>
          </w:p>
          <w:p>
            <w:pPr>
              <w:spacing w:line="219" w:lineRule="auto"/>
              <w:ind w:firstLine="494"/>
              <w:rPr>
                <w:rFonts w:ascii="宋体" w:hAnsi="宋体" w:eastAsia="宋体" w:cs="宋体"/>
                <w:sz w:val="21"/>
                <w:szCs w:val="21"/>
              </w:rPr>
            </w:pPr>
            <w:r>
              <w:rPr>
                <w:rFonts w:ascii="宋体" w:hAnsi="宋体" w:eastAsia="宋体" w:cs="宋体"/>
                <w:spacing w:val="-6"/>
                <w:sz w:val="21"/>
                <w:szCs w:val="21"/>
              </w:rPr>
              <w:t>说</w:t>
            </w:r>
            <w:r>
              <w:rPr>
                <w:rFonts w:ascii="宋体" w:hAnsi="宋体" w:eastAsia="宋体" w:cs="宋体"/>
                <w:spacing w:val="5"/>
                <w:sz w:val="21"/>
                <w:szCs w:val="21"/>
              </w:rPr>
              <w:t xml:space="preserve">   </w:t>
            </w:r>
            <w:r>
              <w:rPr>
                <w:rFonts w:ascii="宋体" w:hAnsi="宋体" w:eastAsia="宋体" w:cs="宋体"/>
                <w:spacing w:val="-6"/>
                <w:sz w:val="21"/>
                <w:szCs w:val="21"/>
              </w:rPr>
              <w:t>明</w:t>
            </w:r>
          </w:p>
        </w:tc>
        <w:tc>
          <w:tcPr>
            <w:tcW w:w="4241" w:type="dxa"/>
            <w:gridSpan w:val="4"/>
            <w:tcBorders>
              <w:top w:val="nil"/>
              <w:bottom w:val="nil"/>
              <w:right w:val="nil"/>
            </w:tcBorders>
            <w:noWrap w:val="0"/>
            <w:vAlign w:val="top"/>
          </w:tcPr>
          <w:p>
            <w:pPr>
              <w:spacing w:line="271" w:lineRule="auto"/>
              <w:rPr>
                <w:rFonts w:ascii="宋体" w:hAnsi="宋体"/>
                <w:sz w:val="21"/>
              </w:rPr>
            </w:pPr>
          </w:p>
          <w:p>
            <w:pPr>
              <w:spacing w:line="271" w:lineRule="auto"/>
              <w:rPr>
                <w:rFonts w:ascii="宋体" w:hAnsi="宋体"/>
                <w:sz w:val="21"/>
              </w:rPr>
            </w:pPr>
          </w:p>
          <w:p>
            <w:pPr>
              <w:spacing w:before="69" w:line="219" w:lineRule="auto"/>
              <w:ind w:firstLine="332"/>
              <w:rPr>
                <w:rFonts w:ascii="宋体" w:hAnsi="宋体" w:eastAsia="宋体" w:cs="宋体"/>
                <w:sz w:val="21"/>
                <w:szCs w:val="21"/>
              </w:rPr>
            </w:pPr>
            <w:r>
              <w:rPr>
                <w:rFonts w:ascii="宋体" w:hAnsi="宋体" w:eastAsia="宋体" w:cs="宋体"/>
                <w:spacing w:val="-2"/>
                <w:sz w:val="21"/>
                <w:szCs w:val="21"/>
              </w:rPr>
              <w:t>法定代表人</w:t>
            </w:r>
          </w:p>
        </w:tc>
        <w:tc>
          <w:tcPr>
            <w:tcW w:w="2972" w:type="dxa"/>
            <w:gridSpan w:val="4"/>
            <w:tcBorders>
              <w:top w:val="nil"/>
              <w:left w:val="nil"/>
              <w:bottom w:val="nil"/>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9" w:hRule="atLeast"/>
        </w:trPr>
        <w:tc>
          <w:tcPr>
            <w:tcW w:w="1714" w:type="dxa"/>
            <w:gridSpan w:val="2"/>
            <w:vMerge w:val="continue"/>
            <w:tcBorders>
              <w:top w:val="nil"/>
              <w:bottom w:val="single" w:color="000000" w:sz="2" w:space="0"/>
            </w:tcBorders>
            <w:noWrap w:val="0"/>
            <w:vAlign w:val="top"/>
          </w:tcPr>
          <w:p>
            <w:pPr>
              <w:rPr>
                <w:rFonts w:ascii="宋体" w:hAnsi="宋体"/>
                <w:sz w:val="21"/>
              </w:rPr>
            </w:pPr>
          </w:p>
        </w:tc>
        <w:tc>
          <w:tcPr>
            <w:tcW w:w="4241" w:type="dxa"/>
            <w:gridSpan w:val="4"/>
            <w:tcBorders>
              <w:top w:val="nil"/>
              <w:bottom w:val="single" w:color="000000" w:sz="2" w:space="0"/>
              <w:right w:val="nil"/>
            </w:tcBorders>
            <w:noWrap w:val="0"/>
            <w:vAlign w:val="top"/>
          </w:tcPr>
          <w:p>
            <w:pPr>
              <w:spacing w:before="220" w:line="227" w:lineRule="auto"/>
              <w:ind w:left="0" w:leftChars="0" w:firstLine="214" w:firstLineChars="100"/>
              <w:rPr>
                <w:rFonts w:ascii="宋体" w:hAnsi="宋体" w:eastAsia="宋体" w:cs="宋体"/>
                <w:sz w:val="21"/>
                <w:szCs w:val="21"/>
              </w:rPr>
            </w:pPr>
            <w:r>
              <w:rPr>
                <w:rFonts w:ascii="宋体" w:hAnsi="宋体" w:eastAsia="宋体" w:cs="宋体"/>
                <w:spacing w:val="2"/>
                <w:sz w:val="21"/>
                <w:szCs w:val="21"/>
              </w:rPr>
              <w:t>(负责人)签字</w:t>
            </w:r>
            <w:r>
              <w:rPr>
                <w:rFonts w:ascii="宋体" w:hAnsi="宋体" w:eastAsia="宋体" w:cs="宋体"/>
                <w:spacing w:val="5"/>
                <w:sz w:val="21"/>
                <w:szCs w:val="21"/>
              </w:rPr>
              <w:t xml:space="preserve">             </w:t>
            </w:r>
            <w:r>
              <w:rPr>
                <w:rFonts w:ascii="宋体" w:hAnsi="宋体" w:eastAsia="宋体" w:cs="宋体"/>
                <w:spacing w:val="2"/>
                <w:sz w:val="21"/>
                <w:szCs w:val="21"/>
              </w:rPr>
              <w:t>单位盖章</w:t>
            </w:r>
          </w:p>
        </w:tc>
        <w:tc>
          <w:tcPr>
            <w:tcW w:w="945" w:type="dxa"/>
            <w:tcBorders>
              <w:top w:val="nil"/>
              <w:left w:val="nil"/>
              <w:bottom w:val="single" w:color="000000" w:sz="2" w:space="0"/>
              <w:right w:val="nil"/>
            </w:tcBorders>
            <w:noWrap w:val="0"/>
            <w:vAlign w:val="top"/>
          </w:tcPr>
          <w:p>
            <w:pPr>
              <w:spacing w:before="230" w:line="219" w:lineRule="auto"/>
              <w:ind w:firstLine="495"/>
              <w:rPr>
                <w:rFonts w:ascii="宋体" w:hAnsi="宋体" w:eastAsia="宋体" w:cs="宋体"/>
                <w:sz w:val="21"/>
                <w:szCs w:val="21"/>
              </w:rPr>
            </w:pPr>
          </w:p>
        </w:tc>
        <w:tc>
          <w:tcPr>
            <w:tcW w:w="2027" w:type="dxa"/>
            <w:gridSpan w:val="3"/>
            <w:tcBorders>
              <w:top w:val="nil"/>
              <w:left w:val="nil"/>
              <w:bottom w:val="single" w:color="000000" w:sz="2" w:space="0"/>
            </w:tcBorders>
            <w:noWrap w:val="0"/>
            <w:vAlign w:val="top"/>
          </w:tcPr>
          <w:p>
            <w:pPr>
              <w:spacing w:before="240" w:line="224" w:lineRule="auto"/>
              <w:ind w:left="0" w:leftChars="0" w:firstLine="0" w:firstLineChars="0"/>
              <w:rPr>
                <w:rFonts w:ascii="宋体" w:hAnsi="宋体" w:eastAsia="宋体" w:cs="宋体"/>
                <w:sz w:val="13"/>
                <w:szCs w:val="13"/>
              </w:rPr>
            </w:pPr>
            <w:r>
              <w:rPr>
                <w:rFonts w:ascii="宋体" w:hAnsi="宋体" w:eastAsia="宋体" w:cs="宋体"/>
                <w:sz w:val="21"/>
                <w:szCs w:val="21"/>
              </w:rPr>
              <w:t>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 xml:space="preserve">    </w:t>
            </w:r>
            <w:r>
              <w:rPr>
                <w:rFonts w:ascii="宋体" w:hAnsi="宋体" w:eastAsia="宋体" w:cs="宋体"/>
                <w:sz w:val="21"/>
                <w:szCs w:val="21"/>
              </w:rPr>
              <w:t>日</w:t>
            </w:r>
          </w:p>
        </w:tc>
      </w:tr>
    </w:tbl>
    <w:p>
      <w:pPr>
        <w:ind w:left="0" w:leftChars="0" w:firstLine="0" w:firstLineChars="0"/>
        <w:rPr>
          <w:rFonts w:ascii="宋体" w:hAnsi="宋体"/>
        </w:rPr>
        <w:sectPr>
          <w:footerReference r:id="rId7" w:type="default"/>
          <w:pgSz w:w="11900" w:h="16830"/>
          <w:pgMar w:top="1430" w:right="1264" w:bottom="1567" w:left="1715" w:header="0" w:footer="1428" w:gutter="0"/>
          <w:pgNumType w:fmt="numberInDash"/>
          <w:cols w:space="720" w:num="1"/>
        </w:sectPr>
      </w:pPr>
    </w:p>
    <w:p>
      <w:pPr>
        <w:spacing w:before="69" w:line="224" w:lineRule="auto"/>
        <w:ind w:left="0" w:leftChars="0" w:firstLine="0" w:firstLineChars="0"/>
        <w:rPr>
          <w:rFonts w:ascii="宋体" w:hAnsi="宋体" w:eastAsia="黑体" w:cs="黑体"/>
          <w:sz w:val="34"/>
          <w:szCs w:val="34"/>
        </w:rPr>
      </w:pPr>
      <w:r>
        <w:rPr>
          <w:rFonts w:ascii="宋体" w:hAnsi="宋体" w:eastAsia="黑体" w:cs="黑体"/>
          <w:spacing w:val="3"/>
          <w:sz w:val="34"/>
          <w:szCs w:val="34"/>
        </w:rPr>
        <w:t>附件2:</w:t>
      </w:r>
    </w:p>
    <w:p>
      <w:pPr>
        <w:spacing w:before="330" w:line="219" w:lineRule="auto"/>
        <w:ind w:firstLine="2519"/>
        <w:jc w:val="center"/>
      </w:pPr>
      <w:r>
        <w:rPr>
          <w:rFonts w:ascii="宋体" w:hAnsi="宋体" w:eastAsia="宋体" w:cs="宋体"/>
          <w:spacing w:val="20"/>
          <w:sz w:val="34"/>
          <w:szCs w:val="34"/>
        </w:rPr>
        <w:t>成品油零售经营资格申请表</w:t>
      </w:r>
    </w:p>
    <w:tbl>
      <w:tblPr>
        <w:tblStyle w:val="37"/>
        <w:tblpPr w:leftFromText="180" w:rightFromText="180" w:vertAnchor="text" w:horzAnchor="page" w:tblpX="1349" w:tblpY="173"/>
        <w:tblOverlap w:val="never"/>
        <w:tblW w:w="971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3"/>
        <w:gridCol w:w="1069"/>
        <w:gridCol w:w="1978"/>
        <w:gridCol w:w="280"/>
        <w:gridCol w:w="1688"/>
        <w:gridCol w:w="1928"/>
        <w:gridCol w:w="7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9" w:hRule="atLeast"/>
        </w:trPr>
        <w:tc>
          <w:tcPr>
            <w:tcW w:w="2023" w:type="dxa"/>
            <w:tcBorders>
              <w:top w:val="single" w:color="000000" w:sz="2" w:space="0"/>
              <w:bottom w:val="single" w:color="000000" w:sz="2" w:space="0"/>
            </w:tcBorders>
            <w:noWrap w:val="0"/>
            <w:vAlign w:val="top"/>
          </w:tcPr>
          <w:p>
            <w:pPr>
              <w:spacing w:before="60" w:line="219" w:lineRule="auto"/>
              <w:ind w:left="0" w:leftChars="0" w:firstLine="484" w:firstLineChars="200"/>
              <w:rPr>
                <w:rFonts w:ascii="宋体" w:hAnsi="宋体" w:eastAsia="宋体" w:cs="宋体"/>
                <w:spacing w:val="1"/>
                <w:sz w:val="24"/>
                <w:szCs w:val="24"/>
              </w:rPr>
            </w:pPr>
            <w:r>
              <w:rPr>
                <w:rFonts w:ascii="宋体" w:hAnsi="宋体" w:eastAsia="宋体" w:cs="宋体"/>
                <w:spacing w:val="1"/>
                <w:sz w:val="24"/>
                <w:szCs w:val="24"/>
              </w:rPr>
              <w:t>申请企业</w:t>
            </w:r>
          </w:p>
          <w:p>
            <w:pPr>
              <w:spacing w:before="60" w:line="219" w:lineRule="auto"/>
              <w:ind w:left="0" w:leftChars="0" w:firstLine="484" w:firstLineChars="200"/>
              <w:rPr>
                <w:rFonts w:ascii="宋体" w:hAnsi="宋体" w:eastAsia="宋体" w:cs="宋体"/>
                <w:sz w:val="24"/>
                <w:szCs w:val="24"/>
              </w:rPr>
            </w:pPr>
            <w:r>
              <w:rPr>
                <w:rFonts w:ascii="宋体" w:hAnsi="宋体" w:eastAsia="宋体" w:cs="宋体"/>
                <w:spacing w:val="1"/>
                <w:sz w:val="24"/>
                <w:szCs w:val="24"/>
              </w:rPr>
              <w:t>(盖</w:t>
            </w:r>
            <w:r>
              <w:rPr>
                <w:rFonts w:ascii="宋体" w:hAnsi="宋体" w:eastAsia="宋体" w:cs="宋体"/>
                <w:spacing w:val="-9"/>
                <w:sz w:val="24"/>
                <w:szCs w:val="24"/>
              </w:rPr>
              <w:t>章</w:t>
            </w:r>
            <w:r>
              <w:rPr>
                <w:rFonts w:ascii="宋体" w:hAnsi="宋体" w:eastAsia="宋体" w:cs="宋体"/>
                <w:spacing w:val="-40"/>
                <w:sz w:val="24"/>
                <w:szCs w:val="24"/>
              </w:rPr>
              <w:t xml:space="preserve"> </w:t>
            </w:r>
            <w:r>
              <w:rPr>
                <w:rFonts w:ascii="宋体" w:hAnsi="宋体" w:eastAsia="宋体" w:cs="宋体"/>
                <w:spacing w:val="-9"/>
                <w:sz w:val="24"/>
                <w:szCs w:val="24"/>
              </w:rPr>
              <w:t>)</w:t>
            </w:r>
          </w:p>
        </w:tc>
        <w:tc>
          <w:tcPr>
            <w:tcW w:w="3047" w:type="dxa"/>
            <w:gridSpan w:val="2"/>
            <w:tcBorders>
              <w:top w:val="single" w:color="000000" w:sz="2" w:space="0"/>
              <w:bottom w:val="single" w:color="000000" w:sz="2" w:space="0"/>
            </w:tcBorders>
            <w:noWrap w:val="0"/>
            <w:vAlign w:val="top"/>
          </w:tcPr>
          <w:p>
            <w:pPr>
              <w:rPr>
                <w:rFonts w:ascii="宋体" w:hAnsi="宋体"/>
                <w:sz w:val="21"/>
              </w:rPr>
            </w:pPr>
          </w:p>
        </w:tc>
        <w:tc>
          <w:tcPr>
            <w:tcW w:w="1968" w:type="dxa"/>
            <w:gridSpan w:val="2"/>
            <w:tcBorders>
              <w:top w:val="single" w:color="000000" w:sz="2" w:space="0"/>
              <w:bottom w:val="single" w:color="000000" w:sz="2" w:space="0"/>
            </w:tcBorders>
            <w:noWrap w:val="0"/>
            <w:vAlign w:val="top"/>
          </w:tcPr>
          <w:p>
            <w:pPr>
              <w:spacing w:before="40" w:line="480" w:lineRule="exact"/>
              <w:ind w:left="0" w:leftChars="0" w:firstLine="488" w:firstLineChars="200"/>
              <w:jc w:val="both"/>
              <w:rPr>
                <w:rFonts w:ascii="宋体" w:hAnsi="宋体" w:eastAsia="宋体" w:cs="宋体"/>
                <w:sz w:val="24"/>
                <w:szCs w:val="24"/>
              </w:rPr>
            </w:pPr>
            <w:r>
              <w:rPr>
                <w:rFonts w:ascii="宋体" w:hAnsi="宋体" w:eastAsia="宋体" w:cs="宋体"/>
                <w:spacing w:val="2"/>
                <w:position w:val="18"/>
                <w:sz w:val="24"/>
                <w:szCs w:val="24"/>
              </w:rPr>
              <w:t>法定代表人</w:t>
            </w:r>
          </w:p>
          <w:p>
            <w:pPr>
              <w:spacing w:line="219" w:lineRule="auto"/>
              <w:ind w:left="0" w:leftChars="0" w:firstLine="242" w:firstLineChars="100"/>
              <w:jc w:val="both"/>
              <w:rPr>
                <w:rFonts w:ascii="宋体" w:hAnsi="宋体" w:eastAsia="宋体" w:cs="宋体"/>
                <w:sz w:val="24"/>
                <w:szCs w:val="24"/>
              </w:rPr>
            </w:pPr>
            <w:r>
              <w:rPr>
                <w:rFonts w:ascii="宋体" w:hAnsi="宋体" w:eastAsia="宋体" w:cs="宋体"/>
                <w:spacing w:val="1"/>
                <w:sz w:val="24"/>
                <w:szCs w:val="24"/>
              </w:rPr>
              <w:t>(负责人)签字</w:t>
            </w:r>
          </w:p>
        </w:tc>
        <w:tc>
          <w:tcPr>
            <w:tcW w:w="2672" w:type="dxa"/>
            <w:gridSpan w:val="2"/>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5" w:hRule="atLeast"/>
        </w:trPr>
        <w:tc>
          <w:tcPr>
            <w:tcW w:w="2023" w:type="dxa"/>
            <w:tcBorders>
              <w:top w:val="single" w:color="000000" w:sz="2" w:space="0"/>
              <w:bottom w:val="single" w:color="000000" w:sz="2" w:space="0"/>
            </w:tcBorders>
            <w:noWrap w:val="0"/>
            <w:vAlign w:val="top"/>
          </w:tcPr>
          <w:p>
            <w:pPr>
              <w:spacing w:before="86" w:line="221" w:lineRule="auto"/>
              <w:ind w:firstLine="405"/>
              <w:rPr>
                <w:rFonts w:ascii="宋体" w:hAnsi="宋体" w:eastAsia="宋体" w:cs="宋体"/>
                <w:sz w:val="24"/>
                <w:szCs w:val="24"/>
              </w:rPr>
            </w:pPr>
            <w:r>
              <w:rPr>
                <w:rFonts w:ascii="宋体" w:hAnsi="宋体" w:eastAsia="宋体" w:cs="宋体"/>
                <w:spacing w:val="2"/>
                <w:sz w:val="24"/>
                <w:szCs w:val="24"/>
              </w:rPr>
              <w:t>加油站名称</w:t>
            </w:r>
          </w:p>
        </w:tc>
        <w:tc>
          <w:tcPr>
            <w:tcW w:w="3047" w:type="dxa"/>
            <w:gridSpan w:val="2"/>
            <w:tcBorders>
              <w:top w:val="single" w:color="000000" w:sz="2" w:space="0"/>
              <w:bottom w:val="single" w:color="000000" w:sz="2" w:space="0"/>
            </w:tcBorders>
            <w:noWrap w:val="0"/>
            <w:vAlign w:val="top"/>
          </w:tcPr>
          <w:p>
            <w:pPr>
              <w:rPr>
                <w:rFonts w:ascii="宋体" w:hAnsi="宋体"/>
                <w:sz w:val="21"/>
              </w:rPr>
            </w:pPr>
          </w:p>
        </w:tc>
        <w:tc>
          <w:tcPr>
            <w:tcW w:w="1968" w:type="dxa"/>
            <w:gridSpan w:val="2"/>
            <w:tcBorders>
              <w:top w:val="single" w:color="000000" w:sz="2" w:space="0"/>
              <w:bottom w:val="single" w:color="000000" w:sz="2" w:space="0"/>
            </w:tcBorders>
            <w:noWrap w:val="0"/>
            <w:vAlign w:val="top"/>
          </w:tcPr>
          <w:p>
            <w:pPr>
              <w:spacing w:before="86" w:line="221" w:lineRule="auto"/>
              <w:ind w:firstLine="255"/>
              <w:rPr>
                <w:rFonts w:ascii="宋体" w:hAnsi="宋体" w:eastAsia="宋体" w:cs="宋体"/>
                <w:sz w:val="24"/>
                <w:szCs w:val="24"/>
              </w:rPr>
            </w:pPr>
            <w:r>
              <w:rPr>
                <w:rFonts w:ascii="宋体" w:hAnsi="宋体" w:eastAsia="宋体" w:cs="宋体"/>
                <w:spacing w:val="-2"/>
                <w:sz w:val="24"/>
                <w:szCs w:val="24"/>
              </w:rPr>
              <w:t>联系人及电话</w:t>
            </w:r>
          </w:p>
        </w:tc>
        <w:tc>
          <w:tcPr>
            <w:tcW w:w="2672" w:type="dxa"/>
            <w:gridSpan w:val="2"/>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5" w:hRule="atLeast"/>
        </w:trPr>
        <w:tc>
          <w:tcPr>
            <w:tcW w:w="2023" w:type="dxa"/>
            <w:tcBorders>
              <w:top w:val="single" w:color="000000" w:sz="2" w:space="0"/>
              <w:bottom w:val="single" w:color="000000" w:sz="2" w:space="0"/>
            </w:tcBorders>
            <w:noWrap w:val="0"/>
            <w:vAlign w:val="top"/>
          </w:tcPr>
          <w:p>
            <w:pPr>
              <w:spacing w:before="36" w:line="222" w:lineRule="auto"/>
              <w:ind w:firstLine="405"/>
              <w:rPr>
                <w:rFonts w:ascii="宋体" w:hAnsi="宋体" w:eastAsia="宋体" w:cs="宋体"/>
                <w:sz w:val="24"/>
                <w:szCs w:val="24"/>
              </w:rPr>
            </w:pPr>
            <w:r>
              <w:rPr>
                <w:rFonts w:ascii="宋体" w:hAnsi="宋体" w:eastAsia="宋体" w:cs="宋体"/>
                <w:spacing w:val="2"/>
                <w:sz w:val="24"/>
                <w:szCs w:val="24"/>
              </w:rPr>
              <w:t>加油站地址</w:t>
            </w:r>
          </w:p>
        </w:tc>
        <w:tc>
          <w:tcPr>
            <w:tcW w:w="7687" w:type="dxa"/>
            <w:gridSpan w:val="6"/>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5" w:hRule="atLeast"/>
        </w:trPr>
        <w:tc>
          <w:tcPr>
            <w:tcW w:w="2023" w:type="dxa"/>
            <w:tcBorders>
              <w:top w:val="single" w:color="000000" w:sz="2" w:space="0"/>
              <w:bottom w:val="single" w:color="000000" w:sz="2" w:space="0"/>
            </w:tcBorders>
            <w:noWrap w:val="0"/>
            <w:vAlign w:val="top"/>
          </w:tcPr>
          <w:p>
            <w:pPr>
              <w:spacing w:before="86" w:line="219" w:lineRule="auto"/>
              <w:ind w:firstLine="525"/>
              <w:rPr>
                <w:rFonts w:ascii="宋体" w:hAnsi="宋体" w:eastAsia="宋体" w:cs="宋体"/>
                <w:sz w:val="24"/>
                <w:szCs w:val="24"/>
              </w:rPr>
            </w:pPr>
            <w:r>
              <w:rPr>
                <w:rFonts w:ascii="宋体" w:hAnsi="宋体" w:eastAsia="宋体" w:cs="宋体"/>
                <w:spacing w:val="3"/>
                <w:sz w:val="24"/>
                <w:szCs w:val="24"/>
              </w:rPr>
              <w:t>经济类型</w:t>
            </w:r>
          </w:p>
        </w:tc>
        <w:tc>
          <w:tcPr>
            <w:tcW w:w="7687" w:type="dxa"/>
            <w:gridSpan w:val="6"/>
            <w:tcBorders>
              <w:top w:val="single" w:color="000000" w:sz="2" w:space="0"/>
              <w:bottom w:val="single" w:color="000000" w:sz="2" w:space="0"/>
            </w:tcBorders>
            <w:noWrap w:val="0"/>
            <w:vAlign w:val="top"/>
          </w:tcPr>
          <w:p>
            <w:pPr>
              <w:spacing w:before="86" w:line="220" w:lineRule="auto"/>
              <w:ind w:left="0" w:leftChars="0" w:firstLine="0" w:firstLineChars="0"/>
              <w:rPr>
                <w:rFonts w:ascii="宋体" w:hAnsi="宋体" w:eastAsia="宋体" w:cs="宋体"/>
                <w:sz w:val="24"/>
                <w:szCs w:val="24"/>
              </w:rPr>
            </w:pPr>
            <w:r>
              <w:rPr>
                <w:rFonts w:ascii="宋体" w:hAnsi="宋体" w:eastAsia="宋体" w:cs="宋体"/>
                <w:spacing w:val="1"/>
                <w:sz w:val="24"/>
                <w:szCs w:val="24"/>
              </w:rPr>
              <w:t>中石油□/中石化□/兵团石油□/其他国有□/民营□/外资□/合资□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4" w:hRule="atLeast"/>
        </w:trPr>
        <w:tc>
          <w:tcPr>
            <w:tcW w:w="2023" w:type="dxa"/>
            <w:tcBorders>
              <w:top w:val="single" w:color="000000" w:sz="2" w:space="0"/>
              <w:bottom w:val="single" w:color="000000" w:sz="2" w:space="0"/>
            </w:tcBorders>
            <w:noWrap w:val="0"/>
            <w:vAlign w:val="top"/>
          </w:tcPr>
          <w:p>
            <w:pPr>
              <w:spacing w:before="226" w:line="220" w:lineRule="auto"/>
              <w:ind w:left="0" w:leftChars="0" w:firstLine="0" w:firstLineChars="0"/>
              <w:rPr>
                <w:rFonts w:ascii="宋体" w:hAnsi="宋体" w:eastAsia="宋体" w:cs="宋体"/>
                <w:sz w:val="24"/>
                <w:szCs w:val="24"/>
              </w:rPr>
            </w:pPr>
            <w:r>
              <w:rPr>
                <w:rFonts w:ascii="宋体" w:hAnsi="宋体" w:eastAsia="宋体" w:cs="宋体"/>
                <w:spacing w:val="11"/>
                <w:sz w:val="24"/>
                <w:szCs w:val="24"/>
              </w:rPr>
              <w:t>汽油容积</w:t>
            </w:r>
            <w:r>
              <w:rPr>
                <w:rFonts w:ascii="宋体" w:hAnsi="宋体" w:eastAsia="宋体" w:cs="宋体"/>
                <w:spacing w:val="-36"/>
                <w:sz w:val="24"/>
                <w:szCs w:val="24"/>
              </w:rPr>
              <w:t xml:space="preserve"> </w:t>
            </w:r>
            <w:r>
              <w:rPr>
                <w:rFonts w:ascii="宋体" w:hAnsi="宋体" w:eastAsia="宋体" w:cs="宋体"/>
                <w:spacing w:val="11"/>
                <w:sz w:val="24"/>
                <w:szCs w:val="24"/>
              </w:rPr>
              <w:t>(</w:t>
            </w:r>
            <w:r>
              <w:rPr>
                <w:rFonts w:ascii="宋体" w:hAnsi="宋体" w:eastAsia="宋体" w:cs="宋体"/>
                <w:spacing w:val="-9"/>
                <w:sz w:val="21"/>
                <w:szCs w:val="21"/>
              </w:rPr>
              <w:t>m³</w:t>
            </w:r>
            <w:r>
              <w:rPr>
                <w:rFonts w:ascii="宋体" w:hAnsi="宋体" w:eastAsia="宋体" w:cs="宋体"/>
                <w:spacing w:val="11"/>
                <w:sz w:val="24"/>
                <w:szCs w:val="24"/>
              </w:rPr>
              <w:t>)</w:t>
            </w:r>
          </w:p>
        </w:tc>
        <w:tc>
          <w:tcPr>
            <w:tcW w:w="1069" w:type="dxa"/>
            <w:tcBorders>
              <w:top w:val="single" w:color="000000" w:sz="2" w:space="0"/>
              <w:bottom w:val="single" w:color="000000" w:sz="2" w:space="0"/>
            </w:tcBorders>
            <w:noWrap w:val="0"/>
            <w:vAlign w:val="top"/>
          </w:tcPr>
          <w:p>
            <w:pPr>
              <w:rPr>
                <w:rFonts w:ascii="宋体" w:hAnsi="宋体"/>
                <w:sz w:val="21"/>
              </w:rPr>
            </w:pPr>
          </w:p>
        </w:tc>
        <w:tc>
          <w:tcPr>
            <w:tcW w:w="2258" w:type="dxa"/>
            <w:gridSpan w:val="2"/>
            <w:tcBorders>
              <w:top w:val="single" w:color="000000" w:sz="2" w:space="0"/>
              <w:bottom w:val="single" w:color="000000" w:sz="2" w:space="0"/>
            </w:tcBorders>
            <w:noWrap w:val="0"/>
            <w:vAlign w:val="top"/>
          </w:tcPr>
          <w:p>
            <w:pPr>
              <w:spacing w:before="36" w:line="219" w:lineRule="auto"/>
              <w:ind w:left="0" w:leftChars="0" w:firstLine="0" w:firstLineChars="0"/>
              <w:rPr>
                <w:rFonts w:ascii="宋体" w:hAnsi="宋体" w:eastAsia="宋体" w:cs="宋体"/>
                <w:sz w:val="24"/>
                <w:szCs w:val="24"/>
              </w:rPr>
            </w:pPr>
            <w:r>
              <w:rPr>
                <w:rFonts w:ascii="宋体" w:hAnsi="宋体" w:eastAsia="宋体" w:cs="宋体"/>
                <w:spacing w:val="7"/>
                <w:sz w:val="24"/>
                <w:szCs w:val="24"/>
              </w:rPr>
              <w:t>油罐数量</w:t>
            </w:r>
            <w:r>
              <w:rPr>
                <w:rFonts w:ascii="宋体" w:hAnsi="宋体" w:eastAsia="宋体" w:cs="宋体"/>
                <w:spacing w:val="-35"/>
                <w:sz w:val="24"/>
                <w:szCs w:val="24"/>
              </w:rPr>
              <w:t xml:space="preserve"> </w:t>
            </w:r>
            <w:r>
              <w:rPr>
                <w:rFonts w:ascii="宋体" w:hAnsi="宋体" w:eastAsia="宋体" w:cs="宋体"/>
                <w:spacing w:val="7"/>
                <w:sz w:val="24"/>
                <w:szCs w:val="24"/>
              </w:rPr>
              <w:t>(</w:t>
            </w:r>
            <w:r>
              <w:rPr>
                <w:rFonts w:ascii="宋体" w:hAnsi="宋体" w:eastAsia="宋体" w:cs="宋体"/>
                <w:spacing w:val="-9"/>
                <w:sz w:val="21"/>
                <w:szCs w:val="21"/>
              </w:rPr>
              <w:t>m³</w:t>
            </w:r>
            <w:r>
              <w:rPr>
                <w:rFonts w:ascii="宋体" w:hAnsi="宋体" w:eastAsia="宋体" w:cs="宋体"/>
                <w:spacing w:val="-52"/>
                <w:sz w:val="24"/>
                <w:szCs w:val="24"/>
              </w:rPr>
              <w:t xml:space="preserve"> </w:t>
            </w:r>
            <w:r>
              <w:rPr>
                <w:rFonts w:ascii="宋体" w:hAnsi="宋体" w:eastAsia="宋体" w:cs="宋体"/>
                <w:spacing w:val="7"/>
                <w:sz w:val="24"/>
                <w:szCs w:val="24"/>
              </w:rPr>
              <w:t>×</w:t>
            </w:r>
            <w:r>
              <w:rPr>
                <w:rFonts w:ascii="宋体" w:hAnsi="宋体" w:eastAsia="宋体" w:cs="宋体"/>
                <w:spacing w:val="-5"/>
                <w:sz w:val="24"/>
                <w:szCs w:val="24"/>
              </w:rPr>
              <w:t>个</w:t>
            </w:r>
            <w:r>
              <w:rPr>
                <w:rFonts w:ascii="宋体" w:hAnsi="宋体" w:eastAsia="宋体" w:cs="宋体"/>
                <w:spacing w:val="-48"/>
                <w:sz w:val="24"/>
                <w:szCs w:val="24"/>
              </w:rPr>
              <w:t xml:space="preserve"> </w:t>
            </w:r>
            <w:r>
              <w:rPr>
                <w:rFonts w:ascii="宋体" w:hAnsi="宋体" w:eastAsia="宋体" w:cs="宋体"/>
                <w:spacing w:val="-5"/>
                <w:sz w:val="24"/>
                <w:szCs w:val="24"/>
              </w:rPr>
              <w:t>)</w:t>
            </w:r>
          </w:p>
        </w:tc>
        <w:tc>
          <w:tcPr>
            <w:tcW w:w="1688" w:type="dxa"/>
            <w:tcBorders>
              <w:top w:val="single" w:color="000000" w:sz="2" w:space="0"/>
              <w:bottom w:val="single" w:color="000000" w:sz="2" w:space="0"/>
            </w:tcBorders>
            <w:noWrap w:val="0"/>
            <w:vAlign w:val="top"/>
          </w:tcPr>
          <w:p>
            <w:pPr>
              <w:rPr>
                <w:rFonts w:ascii="宋体" w:hAnsi="宋体"/>
                <w:sz w:val="21"/>
              </w:rPr>
            </w:pPr>
          </w:p>
        </w:tc>
        <w:tc>
          <w:tcPr>
            <w:tcW w:w="1928" w:type="dxa"/>
            <w:tcBorders>
              <w:top w:val="single" w:color="000000" w:sz="2" w:space="0"/>
              <w:bottom w:val="single" w:color="000000" w:sz="2" w:space="0"/>
            </w:tcBorders>
            <w:noWrap w:val="0"/>
            <w:vAlign w:val="top"/>
          </w:tcPr>
          <w:p>
            <w:pPr>
              <w:spacing w:before="36" w:line="253" w:lineRule="auto"/>
              <w:ind w:left="0" w:leftChars="0" w:right="370" w:firstLine="0" w:firstLineChars="0"/>
              <w:rPr>
                <w:rFonts w:ascii="宋体" w:hAnsi="宋体" w:eastAsia="宋体" w:cs="宋体"/>
                <w:sz w:val="24"/>
                <w:szCs w:val="24"/>
              </w:rPr>
            </w:pPr>
            <w:r>
              <w:rPr>
                <w:rFonts w:ascii="宋体" w:hAnsi="宋体" w:eastAsia="宋体" w:cs="宋体"/>
                <w:spacing w:val="-2"/>
                <w:sz w:val="24"/>
                <w:szCs w:val="24"/>
              </w:rPr>
              <w:t>加油机数量</w:t>
            </w:r>
            <w:r>
              <w:rPr>
                <w:rFonts w:ascii="宋体" w:hAnsi="宋体" w:eastAsia="宋体" w:cs="宋体"/>
                <w:sz w:val="24"/>
                <w:szCs w:val="24"/>
              </w:rPr>
              <w:t xml:space="preserve"> </w:t>
            </w:r>
            <w:r>
              <w:rPr>
                <w:rFonts w:ascii="宋体" w:hAnsi="宋体" w:eastAsia="宋体" w:cs="宋体"/>
                <w:spacing w:val="-10"/>
                <w:w w:val="89"/>
                <w:sz w:val="24"/>
                <w:szCs w:val="24"/>
              </w:rPr>
              <w:t>(</w:t>
            </w:r>
            <w:r>
              <w:rPr>
                <w:rFonts w:ascii="宋体" w:hAnsi="宋体" w:eastAsia="宋体" w:cs="宋体"/>
                <w:spacing w:val="-37"/>
                <w:sz w:val="24"/>
                <w:szCs w:val="24"/>
              </w:rPr>
              <w:t xml:space="preserve"> </w:t>
            </w:r>
            <w:r>
              <w:rPr>
                <w:rFonts w:ascii="宋体" w:hAnsi="宋体" w:eastAsia="宋体" w:cs="宋体"/>
                <w:spacing w:val="-10"/>
                <w:w w:val="89"/>
                <w:sz w:val="24"/>
                <w:szCs w:val="24"/>
              </w:rPr>
              <w:t>台</w:t>
            </w:r>
            <w:r>
              <w:rPr>
                <w:rFonts w:ascii="宋体" w:hAnsi="宋体" w:eastAsia="宋体" w:cs="宋体"/>
                <w:spacing w:val="-58"/>
                <w:sz w:val="24"/>
                <w:szCs w:val="24"/>
              </w:rPr>
              <w:t xml:space="preserve"> </w:t>
            </w:r>
            <w:r>
              <w:rPr>
                <w:rFonts w:ascii="宋体" w:hAnsi="宋体" w:eastAsia="宋体" w:cs="宋体"/>
                <w:spacing w:val="-10"/>
                <w:w w:val="89"/>
                <w:sz w:val="24"/>
                <w:szCs w:val="24"/>
              </w:rPr>
              <w:t>)</w:t>
            </w:r>
          </w:p>
        </w:tc>
        <w:tc>
          <w:tcPr>
            <w:tcW w:w="744"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75" w:hRule="atLeast"/>
        </w:trPr>
        <w:tc>
          <w:tcPr>
            <w:tcW w:w="2023" w:type="dxa"/>
            <w:tcBorders>
              <w:top w:val="single" w:color="000000" w:sz="2" w:space="0"/>
              <w:bottom w:val="single" w:color="000000" w:sz="2" w:space="0"/>
            </w:tcBorders>
            <w:noWrap w:val="0"/>
            <w:vAlign w:val="top"/>
          </w:tcPr>
          <w:p>
            <w:pPr>
              <w:spacing w:before="267" w:line="220" w:lineRule="auto"/>
              <w:ind w:left="0" w:leftChars="0" w:firstLine="0" w:firstLineChars="0"/>
              <w:rPr>
                <w:rFonts w:ascii="宋体" w:hAnsi="宋体" w:eastAsia="宋体" w:cs="宋体"/>
                <w:sz w:val="24"/>
                <w:szCs w:val="24"/>
              </w:rPr>
            </w:pPr>
            <w:r>
              <w:rPr>
                <w:rFonts w:ascii="宋体" w:hAnsi="宋体" w:eastAsia="宋体" w:cs="宋体"/>
                <w:spacing w:val="11"/>
                <w:sz w:val="24"/>
                <w:szCs w:val="24"/>
              </w:rPr>
              <w:t>柴油容积</w:t>
            </w:r>
            <w:r>
              <w:rPr>
                <w:rFonts w:ascii="宋体" w:hAnsi="宋体" w:eastAsia="宋体" w:cs="宋体"/>
                <w:spacing w:val="-36"/>
                <w:sz w:val="24"/>
                <w:szCs w:val="24"/>
              </w:rPr>
              <w:t xml:space="preserve"> </w:t>
            </w:r>
            <w:r>
              <w:rPr>
                <w:rFonts w:ascii="宋体" w:hAnsi="宋体" w:eastAsia="宋体" w:cs="宋体"/>
                <w:spacing w:val="11"/>
                <w:sz w:val="24"/>
                <w:szCs w:val="24"/>
              </w:rPr>
              <w:t>(</w:t>
            </w:r>
            <w:r>
              <w:rPr>
                <w:rFonts w:ascii="宋体" w:hAnsi="宋体" w:eastAsia="宋体" w:cs="宋体"/>
                <w:spacing w:val="-9"/>
                <w:sz w:val="21"/>
                <w:szCs w:val="21"/>
              </w:rPr>
              <w:t>m³</w:t>
            </w:r>
            <w:r>
              <w:rPr>
                <w:rFonts w:ascii="宋体" w:hAnsi="宋体" w:eastAsia="宋体" w:cs="宋体"/>
                <w:spacing w:val="11"/>
                <w:sz w:val="24"/>
                <w:szCs w:val="24"/>
              </w:rPr>
              <w:t>)</w:t>
            </w:r>
          </w:p>
        </w:tc>
        <w:tc>
          <w:tcPr>
            <w:tcW w:w="1069" w:type="dxa"/>
            <w:tcBorders>
              <w:top w:val="single" w:color="000000" w:sz="2" w:space="0"/>
              <w:bottom w:val="single" w:color="000000" w:sz="2" w:space="0"/>
            </w:tcBorders>
            <w:noWrap w:val="0"/>
            <w:vAlign w:val="top"/>
          </w:tcPr>
          <w:p>
            <w:pPr>
              <w:rPr>
                <w:rFonts w:ascii="宋体" w:hAnsi="宋体"/>
                <w:sz w:val="21"/>
              </w:rPr>
            </w:pPr>
          </w:p>
        </w:tc>
        <w:tc>
          <w:tcPr>
            <w:tcW w:w="2258" w:type="dxa"/>
            <w:gridSpan w:val="2"/>
            <w:tcBorders>
              <w:top w:val="single" w:color="000000" w:sz="2" w:space="0"/>
              <w:bottom w:val="single" w:color="000000" w:sz="2" w:space="0"/>
            </w:tcBorders>
            <w:noWrap w:val="0"/>
            <w:vAlign w:val="top"/>
          </w:tcPr>
          <w:p>
            <w:pPr>
              <w:spacing w:before="67" w:line="219" w:lineRule="auto"/>
              <w:ind w:left="0" w:leftChars="0" w:firstLine="0" w:firstLineChars="0"/>
              <w:rPr>
                <w:rFonts w:ascii="宋体" w:hAnsi="宋体" w:eastAsia="宋体" w:cs="宋体"/>
                <w:sz w:val="24"/>
                <w:szCs w:val="24"/>
              </w:rPr>
            </w:pPr>
            <w:r>
              <w:rPr>
                <w:rFonts w:ascii="宋体" w:hAnsi="宋体" w:eastAsia="宋体" w:cs="宋体"/>
                <w:spacing w:val="5"/>
                <w:sz w:val="24"/>
                <w:szCs w:val="24"/>
              </w:rPr>
              <w:t>油罐数量(</w:t>
            </w:r>
            <w:r>
              <w:rPr>
                <w:rFonts w:ascii="宋体" w:hAnsi="宋体" w:eastAsia="宋体" w:cs="宋体"/>
                <w:spacing w:val="-9"/>
                <w:sz w:val="21"/>
                <w:szCs w:val="21"/>
              </w:rPr>
              <w:t>m³</w:t>
            </w:r>
            <w:r>
              <w:rPr>
                <w:rFonts w:ascii="宋体" w:hAnsi="宋体" w:eastAsia="宋体" w:cs="宋体"/>
                <w:spacing w:val="5"/>
                <w:sz w:val="24"/>
                <w:szCs w:val="24"/>
              </w:rPr>
              <w:t>×</w:t>
            </w:r>
            <w:r>
              <w:rPr>
                <w:rFonts w:ascii="宋体" w:hAnsi="宋体" w:eastAsia="宋体" w:cs="宋体"/>
                <w:spacing w:val="-5"/>
                <w:sz w:val="24"/>
                <w:szCs w:val="24"/>
              </w:rPr>
              <w:t>个</w:t>
            </w:r>
            <w:r>
              <w:rPr>
                <w:rFonts w:ascii="宋体" w:hAnsi="宋体" w:eastAsia="宋体" w:cs="宋体"/>
                <w:spacing w:val="-48"/>
                <w:sz w:val="24"/>
                <w:szCs w:val="24"/>
              </w:rPr>
              <w:t xml:space="preserve"> </w:t>
            </w:r>
            <w:r>
              <w:rPr>
                <w:rFonts w:ascii="宋体" w:hAnsi="宋体" w:eastAsia="宋体" w:cs="宋体"/>
                <w:spacing w:val="-5"/>
                <w:sz w:val="24"/>
                <w:szCs w:val="24"/>
              </w:rPr>
              <w:t>)</w:t>
            </w:r>
          </w:p>
        </w:tc>
        <w:tc>
          <w:tcPr>
            <w:tcW w:w="1688" w:type="dxa"/>
            <w:tcBorders>
              <w:top w:val="single" w:color="000000" w:sz="2" w:space="0"/>
              <w:bottom w:val="single" w:color="000000" w:sz="2" w:space="0"/>
            </w:tcBorders>
            <w:noWrap w:val="0"/>
            <w:vAlign w:val="top"/>
          </w:tcPr>
          <w:p>
            <w:pPr>
              <w:rPr>
                <w:rFonts w:ascii="宋体" w:hAnsi="宋体"/>
                <w:sz w:val="21"/>
              </w:rPr>
            </w:pPr>
          </w:p>
        </w:tc>
        <w:tc>
          <w:tcPr>
            <w:tcW w:w="1928" w:type="dxa"/>
            <w:tcBorders>
              <w:top w:val="single" w:color="000000" w:sz="2" w:space="0"/>
              <w:bottom w:val="single" w:color="000000" w:sz="2" w:space="0"/>
            </w:tcBorders>
            <w:noWrap w:val="0"/>
            <w:vAlign w:val="top"/>
          </w:tcPr>
          <w:p>
            <w:pPr>
              <w:spacing w:before="57" w:line="254" w:lineRule="auto"/>
              <w:ind w:left="0" w:leftChars="0" w:right="370" w:firstLine="0" w:firstLineChars="0"/>
              <w:rPr>
                <w:rFonts w:ascii="宋体" w:hAnsi="宋体" w:eastAsia="宋体" w:cs="宋体"/>
                <w:sz w:val="24"/>
                <w:szCs w:val="24"/>
              </w:rPr>
            </w:pPr>
            <w:r>
              <w:rPr>
                <w:rFonts w:ascii="宋体" w:hAnsi="宋体" w:eastAsia="宋体" w:cs="宋体"/>
                <w:spacing w:val="-2"/>
                <w:sz w:val="24"/>
                <w:szCs w:val="24"/>
              </w:rPr>
              <w:t>加油机数量</w:t>
            </w:r>
            <w:r>
              <w:rPr>
                <w:rFonts w:ascii="宋体" w:hAnsi="宋体" w:eastAsia="宋体" w:cs="宋体"/>
                <w:sz w:val="24"/>
                <w:szCs w:val="24"/>
              </w:rPr>
              <w:t xml:space="preserve"> </w:t>
            </w:r>
            <w:r>
              <w:rPr>
                <w:rFonts w:ascii="宋体" w:hAnsi="宋体" w:eastAsia="宋体" w:cs="宋体"/>
                <w:spacing w:val="-10"/>
                <w:w w:val="89"/>
                <w:sz w:val="24"/>
                <w:szCs w:val="24"/>
              </w:rPr>
              <w:t>(</w:t>
            </w:r>
            <w:r>
              <w:rPr>
                <w:rFonts w:ascii="宋体" w:hAnsi="宋体" w:eastAsia="宋体" w:cs="宋体"/>
                <w:spacing w:val="-37"/>
                <w:sz w:val="24"/>
                <w:szCs w:val="24"/>
              </w:rPr>
              <w:t xml:space="preserve"> </w:t>
            </w:r>
            <w:r>
              <w:rPr>
                <w:rFonts w:ascii="宋体" w:hAnsi="宋体" w:eastAsia="宋体" w:cs="宋体"/>
                <w:spacing w:val="-10"/>
                <w:w w:val="89"/>
                <w:sz w:val="24"/>
                <w:szCs w:val="24"/>
              </w:rPr>
              <w:t>台</w:t>
            </w:r>
            <w:r>
              <w:rPr>
                <w:rFonts w:ascii="宋体" w:hAnsi="宋体" w:eastAsia="宋体" w:cs="宋体"/>
                <w:spacing w:val="-58"/>
                <w:sz w:val="24"/>
                <w:szCs w:val="24"/>
              </w:rPr>
              <w:t xml:space="preserve"> </w:t>
            </w:r>
            <w:r>
              <w:rPr>
                <w:rFonts w:ascii="宋体" w:hAnsi="宋体" w:eastAsia="宋体" w:cs="宋体"/>
                <w:spacing w:val="-10"/>
                <w:w w:val="89"/>
                <w:sz w:val="24"/>
                <w:szCs w:val="24"/>
              </w:rPr>
              <w:t>)</w:t>
            </w:r>
          </w:p>
        </w:tc>
        <w:tc>
          <w:tcPr>
            <w:tcW w:w="744"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5" w:hRule="atLeast"/>
        </w:trPr>
        <w:tc>
          <w:tcPr>
            <w:tcW w:w="2023" w:type="dxa"/>
            <w:tcBorders>
              <w:top w:val="single" w:color="000000" w:sz="2" w:space="0"/>
              <w:bottom w:val="single" w:color="000000" w:sz="2" w:space="0"/>
            </w:tcBorders>
            <w:noWrap w:val="0"/>
            <w:vAlign w:val="top"/>
          </w:tcPr>
          <w:p>
            <w:pPr>
              <w:spacing w:before="87" w:line="220" w:lineRule="auto"/>
              <w:ind w:left="0" w:leftChars="0" w:firstLine="0" w:firstLineChars="0"/>
              <w:rPr>
                <w:rFonts w:ascii="宋体" w:hAnsi="宋体" w:eastAsia="宋体" w:cs="宋体"/>
                <w:sz w:val="24"/>
                <w:szCs w:val="24"/>
              </w:rPr>
            </w:pPr>
            <w:r>
              <w:rPr>
                <w:rFonts w:ascii="宋体" w:hAnsi="宋体" w:eastAsia="宋体" w:cs="宋体"/>
                <w:spacing w:val="11"/>
                <w:sz w:val="24"/>
                <w:szCs w:val="24"/>
              </w:rPr>
              <w:t>煤油容积</w:t>
            </w:r>
            <w:r>
              <w:rPr>
                <w:rFonts w:ascii="宋体" w:hAnsi="宋体" w:eastAsia="宋体" w:cs="宋体"/>
                <w:spacing w:val="-36"/>
                <w:sz w:val="24"/>
                <w:szCs w:val="24"/>
              </w:rPr>
              <w:t xml:space="preserve"> </w:t>
            </w:r>
            <w:r>
              <w:rPr>
                <w:rFonts w:ascii="宋体" w:hAnsi="宋体" w:eastAsia="宋体" w:cs="宋体"/>
                <w:spacing w:val="11"/>
                <w:sz w:val="24"/>
                <w:szCs w:val="24"/>
              </w:rPr>
              <w:t>(</w:t>
            </w:r>
            <w:r>
              <w:rPr>
                <w:rFonts w:ascii="宋体" w:hAnsi="宋体" w:eastAsia="宋体" w:cs="宋体"/>
                <w:spacing w:val="-9"/>
                <w:sz w:val="21"/>
                <w:szCs w:val="21"/>
              </w:rPr>
              <w:t>m³</w:t>
            </w:r>
            <w:r>
              <w:rPr>
                <w:rFonts w:ascii="宋体" w:hAnsi="宋体" w:eastAsia="宋体" w:cs="宋体"/>
                <w:spacing w:val="11"/>
                <w:sz w:val="24"/>
                <w:szCs w:val="24"/>
              </w:rPr>
              <w:t>)</w:t>
            </w:r>
          </w:p>
        </w:tc>
        <w:tc>
          <w:tcPr>
            <w:tcW w:w="1069" w:type="dxa"/>
            <w:tcBorders>
              <w:top w:val="single" w:color="000000" w:sz="2" w:space="0"/>
              <w:bottom w:val="single" w:color="000000" w:sz="2" w:space="0"/>
            </w:tcBorders>
            <w:noWrap w:val="0"/>
            <w:vAlign w:val="top"/>
          </w:tcPr>
          <w:p>
            <w:pPr>
              <w:rPr>
                <w:rFonts w:ascii="宋体" w:hAnsi="宋体"/>
                <w:sz w:val="21"/>
              </w:rPr>
            </w:pPr>
          </w:p>
        </w:tc>
        <w:tc>
          <w:tcPr>
            <w:tcW w:w="2258" w:type="dxa"/>
            <w:gridSpan w:val="2"/>
            <w:tcBorders>
              <w:top w:val="single" w:color="000000" w:sz="2" w:space="0"/>
              <w:bottom w:val="single" w:color="000000" w:sz="2" w:space="0"/>
            </w:tcBorders>
            <w:noWrap w:val="0"/>
            <w:vAlign w:val="top"/>
          </w:tcPr>
          <w:p>
            <w:pPr>
              <w:spacing w:before="37" w:line="219" w:lineRule="auto"/>
              <w:ind w:left="0" w:leftChars="0" w:firstLine="0" w:firstLineChars="0"/>
              <w:rPr>
                <w:rFonts w:ascii="宋体" w:hAnsi="宋体" w:eastAsia="宋体" w:cs="宋体"/>
                <w:sz w:val="24"/>
                <w:szCs w:val="24"/>
              </w:rPr>
            </w:pPr>
            <w:r>
              <w:rPr>
                <w:rFonts w:ascii="宋体" w:hAnsi="宋体" w:eastAsia="宋体" w:cs="宋体"/>
                <w:spacing w:val="7"/>
                <w:sz w:val="24"/>
                <w:szCs w:val="24"/>
              </w:rPr>
              <w:t>油罐数量</w:t>
            </w:r>
            <w:r>
              <w:rPr>
                <w:rFonts w:ascii="宋体" w:hAnsi="宋体" w:eastAsia="宋体" w:cs="宋体"/>
                <w:spacing w:val="-35"/>
                <w:sz w:val="24"/>
                <w:szCs w:val="24"/>
              </w:rPr>
              <w:t xml:space="preserve"> </w:t>
            </w:r>
            <w:r>
              <w:rPr>
                <w:rFonts w:ascii="宋体" w:hAnsi="宋体" w:eastAsia="宋体" w:cs="宋体"/>
                <w:spacing w:val="7"/>
                <w:sz w:val="24"/>
                <w:szCs w:val="24"/>
              </w:rPr>
              <w:t>(</w:t>
            </w:r>
            <w:r>
              <w:rPr>
                <w:rFonts w:ascii="宋体" w:hAnsi="宋体" w:eastAsia="宋体" w:cs="宋体"/>
                <w:spacing w:val="-9"/>
                <w:sz w:val="21"/>
                <w:szCs w:val="21"/>
              </w:rPr>
              <w:t>m³</w:t>
            </w:r>
            <w:r>
              <w:rPr>
                <w:rFonts w:ascii="宋体" w:hAnsi="宋体" w:eastAsia="宋体" w:cs="宋体"/>
                <w:spacing w:val="-52"/>
                <w:sz w:val="24"/>
                <w:szCs w:val="24"/>
              </w:rPr>
              <w:t xml:space="preserve"> </w:t>
            </w:r>
            <w:r>
              <w:rPr>
                <w:rFonts w:ascii="宋体" w:hAnsi="宋体" w:eastAsia="宋体" w:cs="宋体"/>
                <w:spacing w:val="7"/>
                <w:sz w:val="24"/>
                <w:szCs w:val="24"/>
              </w:rPr>
              <w:t>×</w:t>
            </w:r>
            <w:r>
              <w:rPr>
                <w:rFonts w:ascii="宋体" w:hAnsi="宋体" w:eastAsia="宋体" w:cs="宋体"/>
                <w:spacing w:val="-5"/>
                <w:sz w:val="24"/>
                <w:szCs w:val="24"/>
              </w:rPr>
              <w:t>个</w:t>
            </w:r>
            <w:r>
              <w:rPr>
                <w:rFonts w:ascii="宋体" w:hAnsi="宋体" w:eastAsia="宋体" w:cs="宋体"/>
                <w:spacing w:val="-48"/>
                <w:sz w:val="24"/>
                <w:szCs w:val="24"/>
              </w:rPr>
              <w:t xml:space="preserve"> </w:t>
            </w:r>
            <w:r>
              <w:rPr>
                <w:rFonts w:ascii="宋体" w:hAnsi="宋体" w:eastAsia="宋体" w:cs="宋体"/>
                <w:spacing w:val="-5"/>
                <w:sz w:val="24"/>
                <w:szCs w:val="24"/>
              </w:rPr>
              <w:t>)</w:t>
            </w:r>
          </w:p>
        </w:tc>
        <w:tc>
          <w:tcPr>
            <w:tcW w:w="1688" w:type="dxa"/>
            <w:tcBorders>
              <w:top w:val="single" w:color="000000" w:sz="2" w:space="0"/>
              <w:bottom w:val="single" w:color="000000" w:sz="2" w:space="0"/>
            </w:tcBorders>
            <w:noWrap w:val="0"/>
            <w:vAlign w:val="top"/>
          </w:tcPr>
          <w:p>
            <w:pPr>
              <w:rPr>
                <w:rFonts w:ascii="宋体" w:hAnsi="宋体"/>
                <w:sz w:val="21"/>
              </w:rPr>
            </w:pPr>
          </w:p>
        </w:tc>
        <w:tc>
          <w:tcPr>
            <w:tcW w:w="1928" w:type="dxa"/>
            <w:tcBorders>
              <w:top w:val="single" w:color="000000" w:sz="2" w:space="0"/>
              <w:bottom w:val="single" w:color="000000" w:sz="2" w:space="0"/>
            </w:tcBorders>
            <w:noWrap w:val="0"/>
            <w:vAlign w:val="top"/>
          </w:tcPr>
          <w:p>
            <w:pPr>
              <w:spacing w:before="57" w:line="230" w:lineRule="auto"/>
              <w:ind w:left="0" w:leftChars="0" w:right="370" w:firstLine="0" w:firstLineChars="0"/>
              <w:rPr>
                <w:rFonts w:ascii="宋体" w:hAnsi="宋体" w:eastAsia="宋体" w:cs="宋体"/>
                <w:sz w:val="24"/>
                <w:szCs w:val="24"/>
              </w:rPr>
            </w:pPr>
            <w:r>
              <w:rPr>
                <w:rFonts w:ascii="宋体" w:hAnsi="宋体" w:eastAsia="宋体" w:cs="宋体"/>
                <w:spacing w:val="-2"/>
                <w:sz w:val="24"/>
                <w:szCs w:val="24"/>
              </w:rPr>
              <w:t>加油机数量</w:t>
            </w:r>
            <w:r>
              <w:rPr>
                <w:rFonts w:ascii="宋体" w:hAnsi="宋体" w:eastAsia="宋体" w:cs="宋体"/>
                <w:sz w:val="24"/>
                <w:szCs w:val="24"/>
              </w:rPr>
              <w:t xml:space="preserve"> </w:t>
            </w:r>
            <w:r>
              <w:rPr>
                <w:rFonts w:ascii="宋体" w:hAnsi="宋体" w:eastAsia="宋体" w:cs="宋体"/>
                <w:spacing w:val="-10"/>
                <w:w w:val="89"/>
                <w:sz w:val="24"/>
                <w:szCs w:val="24"/>
              </w:rPr>
              <w:t>(</w:t>
            </w:r>
            <w:r>
              <w:rPr>
                <w:rFonts w:ascii="宋体" w:hAnsi="宋体" w:eastAsia="宋体" w:cs="宋体"/>
                <w:spacing w:val="-37"/>
                <w:sz w:val="24"/>
                <w:szCs w:val="24"/>
              </w:rPr>
              <w:t xml:space="preserve"> </w:t>
            </w:r>
            <w:r>
              <w:rPr>
                <w:rFonts w:ascii="宋体" w:hAnsi="宋体" w:eastAsia="宋体" w:cs="宋体"/>
                <w:spacing w:val="-10"/>
                <w:w w:val="89"/>
                <w:sz w:val="24"/>
                <w:szCs w:val="24"/>
              </w:rPr>
              <w:t>台</w:t>
            </w:r>
            <w:r>
              <w:rPr>
                <w:rFonts w:ascii="宋体" w:hAnsi="宋体" w:eastAsia="宋体" w:cs="宋体"/>
                <w:spacing w:val="-58"/>
                <w:sz w:val="24"/>
                <w:szCs w:val="24"/>
              </w:rPr>
              <w:t xml:space="preserve"> </w:t>
            </w:r>
            <w:r>
              <w:rPr>
                <w:rFonts w:ascii="宋体" w:hAnsi="宋体" w:eastAsia="宋体" w:cs="宋体"/>
                <w:spacing w:val="-10"/>
                <w:w w:val="89"/>
                <w:sz w:val="24"/>
                <w:szCs w:val="24"/>
              </w:rPr>
              <w:t>)</w:t>
            </w:r>
          </w:p>
        </w:tc>
        <w:tc>
          <w:tcPr>
            <w:tcW w:w="744" w:type="dxa"/>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74" w:hRule="atLeast"/>
        </w:trPr>
        <w:tc>
          <w:tcPr>
            <w:tcW w:w="2023" w:type="dxa"/>
            <w:tcBorders>
              <w:top w:val="single" w:color="000000" w:sz="2" w:space="0"/>
              <w:bottom w:val="single" w:color="000000" w:sz="2" w:space="0"/>
            </w:tcBorders>
            <w:noWrap w:val="0"/>
            <w:vAlign w:val="top"/>
          </w:tcPr>
          <w:p>
            <w:pPr>
              <w:spacing w:before="267" w:line="220" w:lineRule="auto"/>
              <w:ind w:firstLine="525"/>
              <w:rPr>
                <w:rFonts w:ascii="宋体" w:hAnsi="宋体" w:eastAsia="宋体" w:cs="宋体"/>
                <w:sz w:val="24"/>
                <w:szCs w:val="24"/>
              </w:rPr>
            </w:pPr>
            <w:r>
              <w:rPr>
                <w:rFonts w:ascii="宋体" w:hAnsi="宋体" w:eastAsia="宋体" w:cs="宋体"/>
                <w:spacing w:val="4"/>
                <w:sz w:val="24"/>
                <w:szCs w:val="24"/>
              </w:rPr>
              <w:t>是否租赁</w:t>
            </w:r>
          </w:p>
        </w:tc>
        <w:tc>
          <w:tcPr>
            <w:tcW w:w="3327" w:type="dxa"/>
            <w:gridSpan w:val="3"/>
            <w:tcBorders>
              <w:top w:val="single" w:color="000000" w:sz="2" w:space="0"/>
              <w:bottom w:val="single" w:color="000000" w:sz="2" w:space="0"/>
            </w:tcBorders>
            <w:noWrap w:val="0"/>
            <w:vAlign w:val="top"/>
          </w:tcPr>
          <w:p>
            <w:pPr>
              <w:spacing w:before="267" w:line="220" w:lineRule="auto"/>
              <w:ind w:firstLine="1112"/>
              <w:rPr>
                <w:rFonts w:ascii="宋体" w:hAnsi="宋体" w:eastAsia="宋体" w:cs="宋体"/>
                <w:sz w:val="24"/>
                <w:szCs w:val="24"/>
              </w:rPr>
            </w:pPr>
            <w:r>
              <w:rPr>
                <w:rFonts w:ascii="宋体" w:hAnsi="宋体" w:eastAsia="宋体" w:cs="宋体"/>
                <w:spacing w:val="6"/>
                <w:sz w:val="24"/>
                <w:szCs w:val="24"/>
              </w:rPr>
              <w:t>是□/否□</w:t>
            </w:r>
          </w:p>
        </w:tc>
        <w:tc>
          <w:tcPr>
            <w:tcW w:w="1688" w:type="dxa"/>
            <w:tcBorders>
              <w:top w:val="single" w:color="000000" w:sz="2" w:space="0"/>
              <w:bottom w:val="single" w:color="000000" w:sz="2" w:space="0"/>
            </w:tcBorders>
            <w:noWrap w:val="0"/>
            <w:vAlign w:val="top"/>
          </w:tcPr>
          <w:p>
            <w:pPr>
              <w:spacing w:before="37" w:line="246" w:lineRule="auto"/>
              <w:ind w:left="0" w:leftChars="0" w:right="130" w:firstLine="0" w:firstLineChars="0"/>
              <w:rPr>
                <w:rFonts w:ascii="宋体" w:hAnsi="宋体" w:eastAsia="宋体" w:cs="宋体"/>
                <w:sz w:val="24"/>
                <w:szCs w:val="24"/>
              </w:rPr>
            </w:pPr>
            <w:r>
              <w:rPr>
                <w:rFonts w:ascii="宋体" w:hAnsi="宋体" w:eastAsia="宋体" w:cs="宋体"/>
                <w:spacing w:val="2"/>
                <w:sz w:val="24"/>
                <w:szCs w:val="24"/>
              </w:rPr>
              <w:t xml:space="preserve">租赁期限(仅 </w:t>
            </w:r>
            <w:r>
              <w:rPr>
                <w:rFonts w:ascii="宋体" w:hAnsi="宋体" w:eastAsia="宋体" w:cs="宋体"/>
                <w:spacing w:val="8"/>
                <w:sz w:val="24"/>
                <w:szCs w:val="24"/>
              </w:rPr>
              <w:t>租赁站填写)</w:t>
            </w:r>
          </w:p>
        </w:tc>
        <w:tc>
          <w:tcPr>
            <w:tcW w:w="2672" w:type="dxa"/>
            <w:gridSpan w:val="2"/>
            <w:tcBorders>
              <w:top w:val="single" w:color="000000" w:sz="2" w:space="0"/>
              <w:bottom w:val="single" w:color="000000" w:sz="2" w:space="0"/>
            </w:tcBorders>
            <w:noWrap w:val="0"/>
            <w:vAlign w:val="top"/>
          </w:tcPr>
          <w:p>
            <w:pPr>
              <w:spacing w:before="27" w:line="480" w:lineRule="exact"/>
              <w:ind w:firstLine="797"/>
              <w:rPr>
                <w:rFonts w:ascii="宋体" w:hAnsi="宋体" w:eastAsia="宋体" w:cs="宋体"/>
                <w:sz w:val="24"/>
                <w:szCs w:val="24"/>
              </w:rPr>
            </w:pPr>
            <w:r>
              <w:rPr>
                <w:rFonts w:ascii="宋体" w:hAnsi="宋体" w:eastAsia="宋体" w:cs="宋体"/>
                <w:spacing w:val="-20"/>
                <w:position w:val="18"/>
                <w:sz w:val="24"/>
                <w:szCs w:val="24"/>
              </w:rPr>
              <w:t>年</w:t>
            </w:r>
            <w:r>
              <w:rPr>
                <w:rFonts w:ascii="宋体" w:hAnsi="宋体" w:eastAsia="宋体" w:cs="宋体"/>
                <w:spacing w:val="-43"/>
                <w:position w:val="18"/>
                <w:sz w:val="24"/>
                <w:szCs w:val="24"/>
              </w:rPr>
              <w:t xml:space="preserve"> </w:t>
            </w:r>
            <w:r>
              <w:rPr>
                <w:rFonts w:ascii="宋体" w:hAnsi="宋体" w:eastAsia="宋体" w:cs="宋体"/>
                <w:spacing w:val="-20"/>
                <w:position w:val="18"/>
                <w:sz w:val="24"/>
                <w:szCs w:val="24"/>
              </w:rPr>
              <w:t>月</w:t>
            </w:r>
            <w:r>
              <w:rPr>
                <w:rFonts w:ascii="宋体" w:hAnsi="宋体" w:eastAsia="宋体" w:cs="宋体"/>
                <w:spacing w:val="37"/>
                <w:position w:val="18"/>
                <w:sz w:val="24"/>
                <w:szCs w:val="24"/>
              </w:rPr>
              <w:t xml:space="preserve">   </w:t>
            </w:r>
            <w:r>
              <w:rPr>
                <w:rFonts w:ascii="宋体" w:hAnsi="宋体" w:eastAsia="宋体" w:cs="宋体"/>
                <w:spacing w:val="-20"/>
                <w:position w:val="18"/>
                <w:sz w:val="24"/>
                <w:szCs w:val="24"/>
              </w:rPr>
              <w:t>日</w:t>
            </w:r>
            <w:r>
              <w:rPr>
                <w:rFonts w:ascii="宋体" w:hAnsi="宋体" w:eastAsia="宋体" w:cs="宋体"/>
                <w:spacing w:val="-45"/>
                <w:position w:val="18"/>
                <w:sz w:val="24"/>
                <w:szCs w:val="24"/>
              </w:rPr>
              <w:t xml:space="preserve"> </w:t>
            </w:r>
            <w:r>
              <w:rPr>
                <w:rFonts w:ascii="宋体" w:hAnsi="宋体" w:eastAsia="宋体" w:cs="宋体"/>
                <w:spacing w:val="-20"/>
                <w:position w:val="18"/>
                <w:sz w:val="24"/>
                <w:szCs w:val="24"/>
              </w:rPr>
              <w:t>至</w:t>
            </w:r>
          </w:p>
          <w:p>
            <w:pPr>
              <w:spacing w:line="205" w:lineRule="auto"/>
              <w:ind w:firstLine="917"/>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15"/>
                <w:sz w:val="24"/>
                <w:szCs w:val="24"/>
              </w:rPr>
              <w:t xml:space="preserve">  </w:t>
            </w:r>
            <w:r>
              <w:rPr>
                <w:rFonts w:ascii="宋体" w:hAnsi="宋体" w:eastAsia="宋体" w:cs="宋体"/>
                <w:spacing w:val="-9"/>
                <w:sz w:val="24"/>
                <w:szCs w:val="24"/>
              </w:rPr>
              <w:t>月</w:t>
            </w:r>
            <w:r>
              <w:rPr>
                <w:rFonts w:ascii="宋体" w:hAnsi="宋体" w:eastAsia="宋体" w:cs="宋体"/>
                <w:spacing w:val="76"/>
                <w:sz w:val="24"/>
                <w:szCs w:val="24"/>
              </w:rPr>
              <w:t xml:space="preserve"> </w:t>
            </w:r>
            <w:r>
              <w:rPr>
                <w:rFonts w:ascii="宋体" w:hAnsi="宋体" w:eastAsia="宋体" w:cs="宋体"/>
                <w:spacing w:val="-9"/>
                <w:sz w:val="24"/>
                <w:szCs w:val="24"/>
              </w:rPr>
              <w:t>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5" w:hRule="atLeast"/>
        </w:trPr>
        <w:tc>
          <w:tcPr>
            <w:tcW w:w="2023" w:type="dxa"/>
            <w:tcBorders>
              <w:top w:val="single" w:color="000000" w:sz="2" w:space="0"/>
              <w:bottom w:val="single" w:color="000000" w:sz="2" w:space="0"/>
            </w:tcBorders>
            <w:noWrap w:val="0"/>
            <w:vAlign w:val="top"/>
          </w:tcPr>
          <w:p>
            <w:pPr>
              <w:spacing w:before="17" w:line="230" w:lineRule="auto"/>
              <w:ind w:left="732" w:leftChars="0" w:right="152" w:hanging="732" w:hangingChars="300"/>
              <w:rPr>
                <w:rFonts w:ascii="宋体" w:hAnsi="宋体" w:eastAsia="宋体" w:cs="宋体"/>
                <w:sz w:val="24"/>
                <w:szCs w:val="24"/>
              </w:rPr>
            </w:pPr>
            <w:r>
              <w:rPr>
                <w:rFonts w:ascii="宋体" w:hAnsi="宋体" w:eastAsia="宋体" w:cs="宋体"/>
                <w:spacing w:val="2"/>
                <w:sz w:val="24"/>
                <w:szCs w:val="24"/>
              </w:rPr>
              <w:t>加油站占地面积</w:t>
            </w:r>
            <w:r>
              <w:rPr>
                <w:rFonts w:ascii="宋体" w:hAnsi="宋体" w:eastAsia="宋体" w:cs="宋体"/>
                <w:spacing w:val="1"/>
                <w:sz w:val="24"/>
                <w:szCs w:val="24"/>
              </w:rPr>
              <w:t xml:space="preserve"> </w:t>
            </w:r>
            <w:r>
              <w:rPr>
                <w:rFonts w:ascii="宋体" w:hAnsi="宋体" w:eastAsia="宋体" w:cs="宋体"/>
                <w:spacing w:val="-12"/>
                <w:sz w:val="24"/>
                <w:szCs w:val="24"/>
              </w:rPr>
              <w:t>(</w:t>
            </w:r>
            <w:r>
              <w:rPr>
                <w:rFonts w:hint="eastAsia" w:ascii="仿宋" w:hAnsi="仿宋" w:eastAsia="仿宋" w:cs="仿宋"/>
                <w:i w:val="0"/>
                <w:iCs w:val="0"/>
                <w:caps w:val="0"/>
                <w:color w:val="333333"/>
                <w:spacing w:val="0"/>
                <w:sz w:val="21"/>
                <w:szCs w:val="21"/>
              </w:rPr>
              <w:t>㎡</w:t>
            </w:r>
            <w:r>
              <w:rPr>
                <w:rFonts w:ascii="宋体" w:hAnsi="宋体" w:eastAsia="宋体" w:cs="宋体"/>
                <w:spacing w:val="-12"/>
                <w:sz w:val="24"/>
                <w:szCs w:val="24"/>
              </w:rPr>
              <w:t>)</w:t>
            </w:r>
          </w:p>
        </w:tc>
        <w:tc>
          <w:tcPr>
            <w:tcW w:w="3327" w:type="dxa"/>
            <w:gridSpan w:val="3"/>
            <w:tcBorders>
              <w:top w:val="single" w:color="000000" w:sz="2" w:space="0"/>
              <w:bottom w:val="single" w:color="000000" w:sz="2" w:space="0"/>
            </w:tcBorders>
            <w:noWrap w:val="0"/>
            <w:vAlign w:val="top"/>
          </w:tcPr>
          <w:p>
            <w:pPr>
              <w:rPr>
                <w:rFonts w:ascii="宋体" w:hAnsi="宋体"/>
                <w:sz w:val="21"/>
              </w:rPr>
            </w:pPr>
          </w:p>
        </w:tc>
        <w:tc>
          <w:tcPr>
            <w:tcW w:w="1688" w:type="dxa"/>
            <w:tcBorders>
              <w:top w:val="single" w:color="000000" w:sz="2" w:space="0"/>
              <w:bottom w:val="single" w:color="000000" w:sz="2" w:space="0"/>
            </w:tcBorders>
            <w:noWrap w:val="0"/>
            <w:vAlign w:val="top"/>
          </w:tcPr>
          <w:p>
            <w:pPr>
              <w:spacing w:before="68" w:line="215" w:lineRule="auto"/>
              <w:ind w:left="0" w:leftChars="0" w:firstLine="246" w:firstLineChars="100"/>
              <w:rPr>
                <w:rFonts w:ascii="宋体" w:hAnsi="宋体" w:eastAsia="宋体" w:cs="宋体"/>
                <w:spacing w:val="3"/>
                <w:sz w:val="24"/>
                <w:szCs w:val="24"/>
              </w:rPr>
            </w:pPr>
            <w:r>
              <w:rPr>
                <w:rFonts w:ascii="宋体" w:hAnsi="宋体" w:eastAsia="宋体" w:cs="宋体"/>
                <w:spacing w:val="3"/>
                <w:sz w:val="24"/>
                <w:szCs w:val="24"/>
              </w:rPr>
              <w:t>建筑面积</w:t>
            </w:r>
          </w:p>
          <w:p>
            <w:pPr>
              <w:spacing w:before="68" w:line="215" w:lineRule="auto"/>
              <w:rPr>
                <w:rFonts w:ascii="宋体" w:hAnsi="宋体" w:eastAsia="宋体" w:cs="宋体"/>
                <w:sz w:val="24"/>
                <w:szCs w:val="24"/>
              </w:rPr>
            </w:pPr>
            <w:r>
              <w:rPr>
                <w:rFonts w:ascii="宋体" w:hAnsi="宋体" w:eastAsia="宋体" w:cs="宋体"/>
                <w:spacing w:val="-10"/>
                <w:sz w:val="24"/>
                <w:szCs w:val="24"/>
              </w:rPr>
              <w:t>(m²)</w:t>
            </w:r>
          </w:p>
        </w:tc>
        <w:tc>
          <w:tcPr>
            <w:tcW w:w="2672" w:type="dxa"/>
            <w:gridSpan w:val="2"/>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74" w:hRule="atLeast"/>
        </w:trPr>
        <w:tc>
          <w:tcPr>
            <w:tcW w:w="2023" w:type="dxa"/>
            <w:tcBorders>
              <w:top w:val="single" w:color="000000" w:sz="2" w:space="0"/>
              <w:bottom w:val="single" w:color="000000" w:sz="2" w:space="0"/>
            </w:tcBorders>
            <w:noWrap w:val="0"/>
            <w:vAlign w:val="top"/>
          </w:tcPr>
          <w:p>
            <w:pPr>
              <w:spacing w:before="47" w:line="232" w:lineRule="auto"/>
              <w:ind w:left="236" w:leftChars="0" w:right="177" w:hanging="236" w:hangingChars="100"/>
              <w:rPr>
                <w:rFonts w:ascii="宋体" w:hAnsi="宋体" w:eastAsia="宋体" w:cs="宋体"/>
                <w:sz w:val="24"/>
                <w:szCs w:val="24"/>
              </w:rPr>
            </w:pPr>
            <w:r>
              <w:rPr>
                <w:rFonts w:ascii="宋体" w:hAnsi="宋体" w:eastAsia="宋体" w:cs="宋体"/>
                <w:spacing w:val="-2"/>
                <w:sz w:val="24"/>
                <w:szCs w:val="24"/>
              </w:rPr>
              <w:t>加油站罩概投影</w:t>
            </w:r>
            <w:r>
              <w:rPr>
                <w:rFonts w:ascii="宋体" w:hAnsi="宋体" w:eastAsia="宋体" w:cs="宋体"/>
                <w:spacing w:val="4"/>
                <w:sz w:val="24"/>
                <w:szCs w:val="24"/>
              </w:rPr>
              <w:t xml:space="preserve"> </w:t>
            </w:r>
            <w:r>
              <w:rPr>
                <w:rFonts w:ascii="宋体" w:hAnsi="宋体" w:eastAsia="宋体" w:cs="宋体"/>
                <w:spacing w:val="14"/>
                <w:sz w:val="24"/>
                <w:szCs w:val="24"/>
              </w:rPr>
              <w:t>面积</w:t>
            </w:r>
            <w:r>
              <w:rPr>
                <w:rFonts w:ascii="宋体" w:hAnsi="宋体" w:eastAsia="宋体" w:cs="宋体"/>
                <w:spacing w:val="-32"/>
                <w:sz w:val="24"/>
                <w:szCs w:val="24"/>
              </w:rPr>
              <w:t xml:space="preserve"> </w:t>
            </w:r>
            <w:r>
              <w:rPr>
                <w:rFonts w:ascii="宋体" w:hAnsi="宋体" w:eastAsia="宋体" w:cs="宋体"/>
                <w:spacing w:val="14"/>
                <w:sz w:val="24"/>
                <w:szCs w:val="24"/>
              </w:rPr>
              <w:t>(</w:t>
            </w:r>
            <w:r>
              <w:rPr>
                <w:rFonts w:hint="eastAsia" w:ascii="仿宋" w:hAnsi="仿宋" w:eastAsia="仿宋" w:cs="仿宋"/>
                <w:i w:val="0"/>
                <w:iCs w:val="0"/>
                <w:caps w:val="0"/>
                <w:color w:val="333333"/>
                <w:spacing w:val="0"/>
                <w:sz w:val="21"/>
                <w:szCs w:val="21"/>
              </w:rPr>
              <w:t>㎡</w:t>
            </w:r>
            <w:r>
              <w:rPr>
                <w:rFonts w:ascii="宋体" w:hAnsi="宋体" w:eastAsia="宋体" w:cs="宋体"/>
                <w:spacing w:val="14"/>
                <w:sz w:val="24"/>
                <w:szCs w:val="24"/>
              </w:rPr>
              <w:t>)</w:t>
            </w:r>
          </w:p>
        </w:tc>
        <w:tc>
          <w:tcPr>
            <w:tcW w:w="3327" w:type="dxa"/>
            <w:gridSpan w:val="3"/>
            <w:tcBorders>
              <w:top w:val="single" w:color="000000" w:sz="2" w:space="0"/>
              <w:bottom w:val="single" w:color="000000" w:sz="2" w:space="0"/>
            </w:tcBorders>
            <w:noWrap w:val="0"/>
            <w:vAlign w:val="top"/>
          </w:tcPr>
          <w:p>
            <w:pPr>
              <w:rPr>
                <w:rFonts w:ascii="宋体" w:hAnsi="宋体"/>
                <w:sz w:val="21"/>
              </w:rPr>
            </w:pPr>
          </w:p>
        </w:tc>
        <w:tc>
          <w:tcPr>
            <w:tcW w:w="1688" w:type="dxa"/>
            <w:tcBorders>
              <w:top w:val="single" w:color="000000" w:sz="2" w:space="0"/>
              <w:bottom w:val="single" w:color="000000" w:sz="2" w:space="0"/>
            </w:tcBorders>
            <w:noWrap w:val="0"/>
            <w:vAlign w:val="top"/>
          </w:tcPr>
          <w:p>
            <w:pPr>
              <w:spacing w:before="38" w:line="253" w:lineRule="auto"/>
              <w:ind w:left="472" w:leftChars="0" w:right="132" w:hanging="472" w:hangingChars="200"/>
              <w:rPr>
                <w:rFonts w:ascii="宋体" w:hAnsi="宋体" w:eastAsia="宋体" w:cs="宋体"/>
                <w:sz w:val="24"/>
                <w:szCs w:val="24"/>
              </w:rPr>
            </w:pPr>
            <w:r>
              <w:rPr>
                <w:rFonts w:ascii="宋体" w:hAnsi="宋体" w:eastAsia="宋体" w:cs="宋体"/>
                <w:spacing w:val="-2"/>
                <w:sz w:val="24"/>
                <w:szCs w:val="24"/>
              </w:rPr>
              <w:t>加油车道数量</w:t>
            </w:r>
            <w:r>
              <w:rPr>
                <w:rFonts w:ascii="宋体" w:hAnsi="宋体" w:eastAsia="宋体" w:cs="宋体"/>
                <w:spacing w:val="2"/>
                <w:sz w:val="24"/>
                <w:szCs w:val="24"/>
              </w:rPr>
              <w:t xml:space="preserve"> </w:t>
            </w:r>
            <w:r>
              <w:rPr>
                <w:rFonts w:ascii="宋体" w:hAnsi="宋体" w:eastAsia="宋体" w:cs="宋体"/>
                <w:spacing w:val="-11"/>
                <w:w w:val="93"/>
                <w:sz w:val="24"/>
                <w:szCs w:val="24"/>
              </w:rPr>
              <w:t>(</w:t>
            </w:r>
            <w:r>
              <w:rPr>
                <w:rFonts w:ascii="宋体" w:hAnsi="宋体" w:eastAsia="宋体" w:cs="宋体"/>
                <w:spacing w:val="-53"/>
                <w:sz w:val="24"/>
                <w:szCs w:val="24"/>
              </w:rPr>
              <w:t xml:space="preserve"> </w:t>
            </w:r>
            <w:r>
              <w:rPr>
                <w:rFonts w:ascii="宋体" w:hAnsi="宋体" w:eastAsia="宋体" w:cs="宋体"/>
                <w:spacing w:val="-11"/>
                <w:w w:val="93"/>
                <w:sz w:val="24"/>
                <w:szCs w:val="24"/>
              </w:rPr>
              <w:t>条</w:t>
            </w:r>
            <w:r>
              <w:rPr>
                <w:rFonts w:ascii="宋体" w:hAnsi="宋体" w:eastAsia="宋体" w:cs="宋体"/>
                <w:spacing w:val="-58"/>
                <w:sz w:val="24"/>
                <w:szCs w:val="24"/>
              </w:rPr>
              <w:t xml:space="preserve"> </w:t>
            </w:r>
            <w:r>
              <w:rPr>
                <w:rFonts w:ascii="宋体" w:hAnsi="宋体" w:eastAsia="宋体" w:cs="宋体"/>
                <w:spacing w:val="-11"/>
                <w:w w:val="93"/>
                <w:sz w:val="24"/>
                <w:szCs w:val="24"/>
              </w:rPr>
              <w:t>)</w:t>
            </w:r>
          </w:p>
        </w:tc>
        <w:tc>
          <w:tcPr>
            <w:tcW w:w="2672" w:type="dxa"/>
            <w:gridSpan w:val="2"/>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4" w:hRule="atLeast"/>
        </w:trPr>
        <w:tc>
          <w:tcPr>
            <w:tcW w:w="2023" w:type="dxa"/>
            <w:tcBorders>
              <w:top w:val="single" w:color="000000" w:sz="2" w:space="0"/>
              <w:bottom w:val="single" w:color="000000" w:sz="2" w:space="0"/>
            </w:tcBorders>
            <w:noWrap w:val="0"/>
            <w:vAlign w:val="top"/>
          </w:tcPr>
          <w:p>
            <w:pPr>
              <w:spacing w:before="78" w:line="219" w:lineRule="auto"/>
              <w:ind w:left="0" w:leftChars="0" w:firstLine="236" w:firstLineChars="100"/>
              <w:rPr>
                <w:rFonts w:ascii="宋体" w:hAnsi="宋体" w:eastAsia="宋体" w:cs="宋体"/>
                <w:spacing w:val="-2"/>
                <w:sz w:val="24"/>
                <w:szCs w:val="24"/>
              </w:rPr>
            </w:pPr>
          </w:p>
          <w:p>
            <w:pPr>
              <w:spacing w:before="78" w:line="219" w:lineRule="auto"/>
              <w:ind w:left="0" w:leftChars="0" w:firstLine="236" w:firstLineChars="100"/>
              <w:rPr>
                <w:rFonts w:ascii="宋体" w:hAnsi="宋体" w:eastAsia="宋体" w:cs="宋体"/>
                <w:sz w:val="24"/>
                <w:szCs w:val="24"/>
              </w:rPr>
            </w:pPr>
            <w:r>
              <w:rPr>
                <w:rFonts w:ascii="宋体" w:hAnsi="宋体" w:eastAsia="宋体" w:cs="宋体"/>
                <w:spacing w:val="-2"/>
                <w:sz w:val="24"/>
                <w:szCs w:val="24"/>
              </w:rPr>
              <w:t>加油站位置类别</w:t>
            </w:r>
          </w:p>
        </w:tc>
        <w:tc>
          <w:tcPr>
            <w:tcW w:w="3327" w:type="dxa"/>
            <w:gridSpan w:val="3"/>
            <w:tcBorders>
              <w:top w:val="single" w:color="000000" w:sz="2" w:space="0"/>
              <w:bottom w:val="single" w:color="000000" w:sz="2" w:space="0"/>
            </w:tcBorders>
            <w:noWrap w:val="0"/>
            <w:vAlign w:val="top"/>
          </w:tcPr>
          <w:p>
            <w:pPr>
              <w:rPr>
                <w:rFonts w:ascii="宋体" w:hAnsi="宋体"/>
                <w:sz w:val="21"/>
              </w:rPr>
            </w:pPr>
          </w:p>
        </w:tc>
        <w:tc>
          <w:tcPr>
            <w:tcW w:w="1688" w:type="dxa"/>
            <w:tcBorders>
              <w:top w:val="single" w:color="000000" w:sz="2" w:space="0"/>
              <w:bottom w:val="single" w:color="000000" w:sz="2" w:space="0"/>
            </w:tcBorders>
            <w:noWrap w:val="0"/>
            <w:vAlign w:val="top"/>
          </w:tcPr>
          <w:p>
            <w:pPr>
              <w:spacing w:before="39" w:line="219" w:lineRule="auto"/>
              <w:ind w:left="0" w:leftChars="0" w:firstLine="0" w:firstLineChars="0"/>
              <w:rPr>
                <w:rFonts w:ascii="宋体" w:hAnsi="宋体" w:eastAsia="宋体" w:cs="宋体"/>
                <w:sz w:val="24"/>
                <w:szCs w:val="24"/>
              </w:rPr>
            </w:pPr>
            <w:r>
              <w:rPr>
                <w:rFonts w:ascii="宋体" w:hAnsi="宋体" w:eastAsia="宋体" w:cs="宋体"/>
                <w:spacing w:val="3"/>
                <w:sz w:val="24"/>
                <w:szCs w:val="24"/>
              </w:rPr>
              <w:t>与周边最近加</w:t>
            </w:r>
          </w:p>
          <w:p>
            <w:pPr>
              <w:spacing w:before="15" w:line="219" w:lineRule="auto"/>
              <w:ind w:left="0" w:leftChars="0" w:firstLine="0" w:firstLineChars="0"/>
              <w:rPr>
                <w:rFonts w:ascii="宋体" w:hAnsi="宋体" w:eastAsia="宋体" w:cs="宋体"/>
                <w:sz w:val="24"/>
                <w:szCs w:val="24"/>
              </w:rPr>
            </w:pPr>
            <w:r>
              <w:rPr>
                <w:rFonts w:ascii="宋体" w:hAnsi="宋体" w:eastAsia="宋体" w:cs="宋体"/>
                <w:spacing w:val="2"/>
                <w:sz w:val="24"/>
                <w:szCs w:val="24"/>
              </w:rPr>
              <w:t>油站车行距离</w:t>
            </w:r>
          </w:p>
          <w:p>
            <w:pPr>
              <w:spacing w:before="35" w:line="222" w:lineRule="auto"/>
              <w:ind w:left="0" w:leftChars="0" w:firstLine="244" w:firstLineChars="100"/>
              <w:rPr>
                <w:rFonts w:ascii="宋体" w:hAnsi="宋体" w:eastAsia="宋体" w:cs="宋体"/>
                <w:sz w:val="24"/>
                <w:szCs w:val="24"/>
              </w:rPr>
            </w:pPr>
            <w:r>
              <w:rPr>
                <w:rFonts w:ascii="宋体" w:hAnsi="宋体" w:eastAsia="宋体" w:cs="宋体"/>
                <w:spacing w:val="2"/>
                <w:sz w:val="24"/>
                <w:szCs w:val="24"/>
              </w:rPr>
              <w:t>(</w:t>
            </w:r>
            <w:r>
              <w:rPr>
                <w:rFonts w:ascii="宋体" w:hAnsi="宋体" w:eastAsia="宋体" w:cs="宋体"/>
                <w:spacing w:val="-66"/>
                <w:sz w:val="24"/>
                <w:szCs w:val="24"/>
              </w:rPr>
              <w:t xml:space="preserve"> </w:t>
            </w:r>
            <w:r>
              <w:rPr>
                <w:rFonts w:ascii="宋体" w:hAnsi="宋体" w:eastAsia="宋体" w:cs="宋体"/>
                <w:spacing w:val="2"/>
                <w:sz w:val="24"/>
                <w:szCs w:val="24"/>
              </w:rPr>
              <w:t>公里)</w:t>
            </w:r>
          </w:p>
        </w:tc>
        <w:tc>
          <w:tcPr>
            <w:tcW w:w="2672" w:type="dxa"/>
            <w:gridSpan w:val="2"/>
            <w:tcBorders>
              <w:top w:val="single" w:color="000000" w:sz="2" w:space="0"/>
              <w:bottom w:val="single" w:color="000000" w:sz="2" w:space="0"/>
            </w:tcBorders>
            <w:noWrap w:val="0"/>
            <w:vAlign w:val="top"/>
          </w:tcPr>
          <w:p>
            <w:pPr>
              <w:rPr>
                <w:rFonts w:ascii="宋体" w:hAnsi="宋体"/>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89" w:hRule="atLeast"/>
        </w:trPr>
        <w:tc>
          <w:tcPr>
            <w:tcW w:w="2023" w:type="dxa"/>
            <w:tcBorders>
              <w:top w:val="single" w:color="000000" w:sz="2" w:space="0"/>
              <w:bottom w:val="single" w:color="000000" w:sz="2" w:space="0"/>
            </w:tcBorders>
            <w:noWrap w:val="0"/>
            <w:vAlign w:val="top"/>
          </w:tcPr>
          <w:p>
            <w:pPr>
              <w:spacing w:line="269" w:lineRule="auto"/>
              <w:rPr>
                <w:rFonts w:ascii="宋体" w:hAnsi="宋体"/>
                <w:sz w:val="21"/>
              </w:rPr>
            </w:pPr>
          </w:p>
          <w:p>
            <w:pPr>
              <w:spacing w:line="269" w:lineRule="auto"/>
              <w:rPr>
                <w:rFonts w:ascii="宋体" w:hAnsi="宋体"/>
                <w:sz w:val="21"/>
              </w:rPr>
            </w:pPr>
          </w:p>
          <w:p>
            <w:pPr>
              <w:spacing w:line="269" w:lineRule="auto"/>
              <w:rPr>
                <w:rFonts w:ascii="宋体" w:hAnsi="宋体"/>
                <w:sz w:val="21"/>
              </w:rPr>
            </w:pPr>
          </w:p>
          <w:p>
            <w:pPr>
              <w:spacing w:before="78" w:line="246" w:lineRule="auto"/>
              <w:ind w:left="708" w:leftChars="0" w:right="181" w:hanging="708" w:hangingChars="300"/>
              <w:rPr>
                <w:rFonts w:ascii="宋体" w:hAnsi="宋体" w:eastAsia="宋体" w:cs="宋体"/>
                <w:sz w:val="24"/>
                <w:szCs w:val="24"/>
              </w:rPr>
            </w:pPr>
            <w:r>
              <w:rPr>
                <w:rFonts w:ascii="宋体" w:hAnsi="宋体" w:eastAsia="宋体" w:cs="宋体"/>
                <w:spacing w:val="-2"/>
                <w:sz w:val="24"/>
                <w:szCs w:val="24"/>
              </w:rPr>
              <w:t>师市商务局审核</w:t>
            </w:r>
            <w:r>
              <w:rPr>
                <w:rFonts w:ascii="宋体" w:hAnsi="宋体" w:eastAsia="宋体" w:cs="宋体"/>
                <w:sz w:val="24"/>
                <w:szCs w:val="24"/>
              </w:rPr>
              <w:t xml:space="preserve"> </w:t>
            </w:r>
            <w:r>
              <w:rPr>
                <w:rFonts w:ascii="宋体" w:hAnsi="宋体" w:eastAsia="宋体" w:cs="宋体"/>
                <w:spacing w:val="6"/>
                <w:sz w:val="24"/>
                <w:szCs w:val="24"/>
              </w:rPr>
              <w:t>意见</w:t>
            </w:r>
          </w:p>
        </w:tc>
        <w:tc>
          <w:tcPr>
            <w:tcW w:w="7687" w:type="dxa"/>
            <w:gridSpan w:val="6"/>
            <w:tcBorders>
              <w:top w:val="single" w:color="000000" w:sz="2" w:space="0"/>
              <w:bottom w:val="single" w:color="000000" w:sz="2" w:space="0"/>
            </w:tcBorders>
            <w:noWrap w:val="0"/>
            <w:vAlign w:val="top"/>
          </w:tcPr>
          <w:p>
            <w:pPr>
              <w:spacing w:line="242" w:lineRule="auto"/>
              <w:rPr>
                <w:rFonts w:ascii="宋体" w:hAnsi="宋体"/>
                <w:sz w:val="21"/>
              </w:rPr>
            </w:pPr>
          </w:p>
          <w:p>
            <w:pPr>
              <w:spacing w:line="242" w:lineRule="auto"/>
              <w:rPr>
                <w:rFonts w:ascii="宋体" w:hAnsi="宋体"/>
                <w:sz w:val="21"/>
              </w:rPr>
            </w:pPr>
          </w:p>
          <w:p>
            <w:pPr>
              <w:spacing w:line="242" w:lineRule="auto"/>
              <w:rPr>
                <w:rFonts w:ascii="宋体" w:hAnsi="宋体"/>
                <w:sz w:val="21"/>
              </w:rPr>
            </w:pPr>
            <w:r>
              <w:rPr>
                <w:rFonts w:ascii="宋体" w:hAnsi="宋体"/>
              </w:rPr>
              <mc:AlternateContent>
                <mc:Choice Requires="wps">
                  <w:drawing>
                    <wp:anchor distT="0" distB="0" distL="114300" distR="114300" simplePos="0" relativeHeight="251662336" behindDoc="0" locked="0" layoutInCell="1" allowOverlap="1">
                      <wp:simplePos x="0" y="0"/>
                      <wp:positionH relativeFrom="page">
                        <wp:posOffset>109220</wp:posOffset>
                      </wp:positionH>
                      <wp:positionV relativeFrom="page">
                        <wp:posOffset>441325</wp:posOffset>
                      </wp:positionV>
                      <wp:extent cx="890905" cy="523875"/>
                      <wp:effectExtent l="0" t="0" r="0" b="0"/>
                      <wp:wrapNone/>
                      <wp:docPr id="8" name="文本框 8"/>
                      <wp:cNvGraphicFramePr/>
                      <a:graphic xmlns:a="http://schemas.openxmlformats.org/drawingml/2006/main">
                        <a:graphicData uri="http://schemas.microsoft.com/office/word/2010/wordprocessingShape">
                          <wps:wsp>
                            <wps:cNvSpPr txBox="1"/>
                            <wps:spPr>
                              <a:xfrm>
                                <a:off x="0" y="0"/>
                                <a:ext cx="890905" cy="523875"/>
                              </a:xfrm>
                              <a:prstGeom prst="rect">
                                <a:avLst/>
                              </a:prstGeom>
                              <a:noFill/>
                              <a:ln>
                                <a:noFill/>
                              </a:ln>
                            </wps:spPr>
                            <wps:txbx>
                              <w:txbxContent>
                                <w:p>
                                  <w:pPr>
                                    <w:spacing w:before="20" w:line="499" w:lineRule="exact"/>
                                    <w:ind w:left="0" w:leftChars="0" w:firstLine="0" w:firstLineChars="0"/>
                                    <w:rPr>
                                      <w:rFonts w:ascii="宋体" w:hAnsi="宋体" w:eastAsia="宋体" w:cs="宋体"/>
                                      <w:sz w:val="24"/>
                                      <w:szCs w:val="24"/>
                                    </w:rPr>
                                  </w:pPr>
                                  <w:r>
                                    <w:rPr>
                                      <w:rFonts w:ascii="宋体" w:hAnsi="宋体" w:eastAsia="宋体" w:cs="宋体"/>
                                      <w:spacing w:val="12"/>
                                      <w:position w:val="19"/>
                                      <w:sz w:val="24"/>
                                      <w:szCs w:val="24"/>
                                    </w:rPr>
                                    <w:t>经办人:</w:t>
                                  </w:r>
                                </w:p>
                                <w:p>
                                  <w:pPr>
                                    <w:spacing w:line="219" w:lineRule="auto"/>
                                    <w:ind w:left="0" w:leftChars="0" w:firstLine="0" w:firstLineChars="0"/>
                                    <w:rPr>
                                      <w:rFonts w:ascii="宋体" w:hAnsi="宋体" w:eastAsia="宋体" w:cs="宋体"/>
                                      <w:sz w:val="24"/>
                                      <w:szCs w:val="24"/>
                                    </w:rPr>
                                  </w:pPr>
                                  <w:r>
                                    <w:rPr>
                                      <w:rFonts w:ascii="宋体" w:hAnsi="宋体" w:eastAsia="宋体" w:cs="宋体"/>
                                      <w:spacing w:val="12"/>
                                      <w:sz w:val="24"/>
                                      <w:szCs w:val="24"/>
                                    </w:rPr>
                                    <w:t>负责人:</w:t>
                                  </w:r>
                                </w:p>
                                <w:p>
                                  <w:pPr>
                                    <w:spacing w:line="219" w:lineRule="auto"/>
                                    <w:ind w:firstLine="60"/>
                                    <w:rPr>
                                      <w:rFonts w:ascii="宋体" w:hAnsi="宋体" w:eastAsia="宋体" w:cs="宋体"/>
                                      <w:sz w:val="24"/>
                                      <w:szCs w:val="24"/>
                                    </w:rPr>
                                  </w:pPr>
                                  <w:r>
                                    <w:rPr>
                                      <w:rFonts w:ascii="宋体" w:hAnsi="宋体" w:eastAsia="宋体" w:cs="宋体"/>
                                      <w:spacing w:val="12"/>
                                      <w:sz w:val="24"/>
                                      <w:szCs w:val="24"/>
                                    </w:rPr>
                                    <w:t>人:</w:t>
                                  </w:r>
                                </w:p>
                              </w:txbxContent>
                            </wps:txbx>
                            <wps:bodyPr lIns="0" tIns="0" rIns="0" bIns="0" upright="1"/>
                          </wps:wsp>
                        </a:graphicData>
                      </a:graphic>
                    </wp:anchor>
                  </w:drawing>
                </mc:Choice>
                <mc:Fallback>
                  <w:pict>
                    <v:shape id="_x0000_s1026" o:spid="_x0000_s1026" o:spt="202" type="#_x0000_t202" style="position:absolute;left:0pt;margin-left:8.6pt;margin-top:34.75pt;height:41.25pt;width:70.15pt;mso-position-horizontal-relative:page;mso-position-vertical-relative:page;z-index:251662336;mso-width-relative:page;mso-height-relative:page;" filled="f" stroked="f" coordsize="21600,21600" o:gfxdata="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AZxM8S1gAAAAkBAAAPAAAAAAAAAAEA&#10;IAAAACIAAABkcnMvZG93bnJldi54bWxQSwECFAAUAAAACACHTuJA5+tbV58BAAAjAwAADgAAAAAA&#10;AAABACAAAAAlAQAAZHJzL2Uyb0RvYy54bWxQSwUGAAAAAAYABgBZAQAANgUAAAAA&#10;">
                      <v:fill on="f" focussize="0,0"/>
                      <v:stroke on="f"/>
                      <v:imagedata o:title=""/>
                      <o:lock v:ext="edit" aspectratio="f"/>
                      <v:textbox inset="0mm,0mm,0mm,0mm">
                        <w:txbxContent>
                          <w:p>
                            <w:pPr>
                              <w:spacing w:before="20" w:line="499" w:lineRule="exact"/>
                              <w:ind w:left="0" w:leftChars="0" w:firstLine="0" w:firstLineChars="0"/>
                              <w:rPr>
                                <w:rFonts w:ascii="宋体" w:hAnsi="宋体" w:eastAsia="宋体" w:cs="宋体"/>
                                <w:sz w:val="24"/>
                                <w:szCs w:val="24"/>
                              </w:rPr>
                            </w:pPr>
                            <w:r>
                              <w:rPr>
                                <w:rFonts w:ascii="宋体" w:hAnsi="宋体" w:eastAsia="宋体" w:cs="宋体"/>
                                <w:spacing w:val="12"/>
                                <w:position w:val="19"/>
                                <w:sz w:val="24"/>
                                <w:szCs w:val="24"/>
                              </w:rPr>
                              <w:t>经办人:</w:t>
                            </w:r>
                          </w:p>
                          <w:p>
                            <w:pPr>
                              <w:spacing w:line="219" w:lineRule="auto"/>
                              <w:ind w:left="0" w:leftChars="0" w:firstLine="0" w:firstLineChars="0"/>
                              <w:rPr>
                                <w:rFonts w:ascii="宋体" w:hAnsi="宋体" w:eastAsia="宋体" w:cs="宋体"/>
                                <w:sz w:val="24"/>
                                <w:szCs w:val="24"/>
                              </w:rPr>
                            </w:pPr>
                            <w:r>
                              <w:rPr>
                                <w:rFonts w:ascii="宋体" w:hAnsi="宋体" w:eastAsia="宋体" w:cs="宋体"/>
                                <w:spacing w:val="12"/>
                                <w:sz w:val="24"/>
                                <w:szCs w:val="24"/>
                              </w:rPr>
                              <w:t>负责人:</w:t>
                            </w:r>
                          </w:p>
                          <w:p>
                            <w:pPr>
                              <w:spacing w:line="219" w:lineRule="auto"/>
                              <w:ind w:firstLine="60"/>
                              <w:rPr>
                                <w:rFonts w:ascii="宋体" w:hAnsi="宋体" w:eastAsia="宋体" w:cs="宋体"/>
                                <w:sz w:val="24"/>
                                <w:szCs w:val="24"/>
                              </w:rPr>
                            </w:pPr>
                            <w:r>
                              <w:rPr>
                                <w:rFonts w:ascii="宋体" w:hAnsi="宋体" w:eastAsia="宋体" w:cs="宋体"/>
                                <w:spacing w:val="12"/>
                                <w:sz w:val="24"/>
                                <w:szCs w:val="24"/>
                              </w:rPr>
                              <w:t>人:</w:t>
                            </w:r>
                          </w:p>
                        </w:txbxContent>
                      </v:textbox>
                    </v:shape>
                  </w:pict>
                </mc:Fallback>
              </mc:AlternateContent>
            </w:r>
          </w:p>
          <w:p>
            <w:pPr>
              <w:spacing w:line="242" w:lineRule="auto"/>
              <w:rPr>
                <w:rFonts w:ascii="宋体" w:hAnsi="宋体"/>
                <w:sz w:val="21"/>
              </w:rPr>
            </w:pPr>
          </w:p>
          <w:p>
            <w:pPr>
              <w:spacing w:line="242" w:lineRule="auto"/>
              <w:rPr>
                <w:rFonts w:ascii="宋体" w:hAnsi="宋体"/>
                <w:sz w:val="21"/>
              </w:rPr>
            </w:pPr>
          </w:p>
          <w:p>
            <w:pPr>
              <w:spacing w:line="243" w:lineRule="auto"/>
              <w:rPr>
                <w:rFonts w:ascii="宋体" w:hAnsi="宋体"/>
                <w:sz w:val="21"/>
              </w:rPr>
            </w:pPr>
          </w:p>
          <w:p>
            <w:pPr>
              <w:spacing w:before="78" w:line="500" w:lineRule="exact"/>
              <w:ind w:firstLine="4864" w:firstLineChars="1900"/>
              <w:rPr>
                <w:rFonts w:ascii="宋体" w:hAnsi="宋体" w:eastAsia="宋体" w:cs="宋体"/>
                <w:sz w:val="24"/>
                <w:szCs w:val="24"/>
              </w:rPr>
            </w:pPr>
            <w:r>
              <w:rPr>
                <w:rFonts w:ascii="宋体" w:hAnsi="宋体" w:eastAsia="宋体" w:cs="宋体"/>
                <w:spacing w:val="8"/>
                <w:position w:val="19"/>
                <w:sz w:val="24"/>
                <w:szCs w:val="24"/>
              </w:rPr>
              <w:t>(单位盖章)</w:t>
            </w:r>
          </w:p>
          <w:p>
            <w:pPr>
              <w:spacing w:line="219" w:lineRule="auto"/>
              <w:ind w:firstLine="4662" w:firstLineChars="2100"/>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5"/>
                <w:sz w:val="24"/>
                <w:szCs w:val="24"/>
              </w:rPr>
              <w:t xml:space="preserve">  </w:t>
            </w:r>
            <w:r>
              <w:rPr>
                <w:rFonts w:ascii="宋体" w:hAnsi="宋体" w:eastAsia="宋体" w:cs="宋体"/>
                <w:spacing w:val="-9"/>
                <w:sz w:val="24"/>
                <w:szCs w:val="24"/>
              </w:rPr>
              <w:t>月</w:t>
            </w:r>
            <w:r>
              <w:rPr>
                <w:rFonts w:ascii="宋体" w:hAnsi="宋体" w:eastAsia="宋体" w:cs="宋体"/>
                <w:spacing w:val="35"/>
                <w:sz w:val="24"/>
                <w:szCs w:val="24"/>
              </w:rPr>
              <w:t xml:space="preserve">   </w:t>
            </w:r>
            <w:r>
              <w:rPr>
                <w:rFonts w:ascii="宋体" w:hAnsi="宋体" w:eastAsia="宋体" w:cs="宋体"/>
                <w:spacing w:val="-9"/>
                <w:sz w:val="24"/>
                <w:szCs w:val="24"/>
              </w:rPr>
              <w:t>日</w:t>
            </w:r>
          </w:p>
        </w:tc>
      </w:tr>
    </w:tbl>
    <w:p>
      <w:pPr>
        <w:spacing w:before="16" w:line="365" w:lineRule="auto"/>
        <w:ind w:right="1005" w:firstLine="3614" w:firstLineChars="1300"/>
      </w:pPr>
      <w:r>
        <w:rPr>
          <w:rFonts w:ascii="宋体" w:hAnsi="宋体" w:eastAsia="仿宋" w:cs="仿宋"/>
          <w:spacing w:val="-1"/>
          <w:sz w:val="28"/>
          <w:szCs w:val="28"/>
        </w:rPr>
        <w:t>填报期:</w:t>
      </w:r>
      <w:r>
        <w:rPr>
          <w:rFonts w:ascii="宋体" w:hAnsi="宋体" w:eastAsia="仿宋" w:cs="仿宋"/>
          <w:spacing w:val="-40"/>
          <w:sz w:val="28"/>
          <w:szCs w:val="28"/>
        </w:rPr>
        <w:t xml:space="preserve"> </w:t>
      </w:r>
      <w:r>
        <w:rPr>
          <w:rFonts w:hint="eastAsia" w:ascii="宋体" w:hAnsi="宋体" w:cs="仿宋"/>
          <w:spacing w:val="-40"/>
          <w:sz w:val="28"/>
          <w:szCs w:val="28"/>
          <w:lang w:val="en-US" w:eastAsia="zh-CN"/>
        </w:rPr>
        <w:t xml:space="preserve">          </w:t>
      </w:r>
      <w:r>
        <w:rPr>
          <w:rFonts w:ascii="宋体" w:hAnsi="宋体" w:eastAsia="仿宋" w:cs="仿宋"/>
          <w:spacing w:val="-1"/>
          <w:sz w:val="28"/>
          <w:szCs w:val="28"/>
        </w:rPr>
        <w:t>年</w:t>
      </w:r>
      <w:r>
        <w:rPr>
          <w:rFonts w:ascii="宋体" w:hAnsi="宋体" w:eastAsia="仿宋" w:cs="仿宋"/>
          <w:spacing w:val="17"/>
          <w:sz w:val="28"/>
          <w:szCs w:val="28"/>
        </w:rPr>
        <w:t xml:space="preserve"> </w:t>
      </w:r>
      <w:r>
        <w:rPr>
          <w:rFonts w:hint="eastAsia" w:ascii="宋体" w:hAnsi="宋体" w:cs="仿宋"/>
          <w:spacing w:val="17"/>
          <w:sz w:val="28"/>
          <w:szCs w:val="28"/>
          <w:lang w:val="en-US" w:eastAsia="zh-CN"/>
        </w:rPr>
        <w:t xml:space="preserve"> </w:t>
      </w:r>
      <w:r>
        <w:rPr>
          <w:rFonts w:ascii="宋体" w:hAnsi="宋体" w:eastAsia="仿宋" w:cs="仿宋"/>
          <w:spacing w:val="-1"/>
          <w:sz w:val="28"/>
          <w:szCs w:val="28"/>
        </w:rPr>
        <w:t>月</w:t>
      </w:r>
      <w:r>
        <w:rPr>
          <w:rFonts w:ascii="宋体" w:hAnsi="宋体" w:eastAsia="仿宋" w:cs="仿宋"/>
          <w:spacing w:val="10"/>
          <w:sz w:val="28"/>
          <w:szCs w:val="28"/>
        </w:rPr>
        <w:t xml:space="preserve">   </w:t>
      </w:r>
      <w:r>
        <w:rPr>
          <w:rFonts w:hint="eastAsia" w:ascii="宋体" w:hAnsi="宋体" w:cs="仿宋"/>
          <w:spacing w:val="10"/>
          <w:sz w:val="28"/>
          <w:szCs w:val="28"/>
          <w:lang w:eastAsia="zh-CN"/>
        </w:rPr>
        <w:t>日</w:t>
      </w:r>
      <w:r>
        <w:rPr>
          <w:rFonts w:ascii="宋体" w:hAnsi="宋体" w:eastAsia="仿宋" w:cs="仿宋"/>
          <w:sz w:val="28"/>
          <w:szCs w:val="28"/>
        </w:rPr>
        <w:t xml:space="preserve"> </w:t>
      </w:r>
    </w:p>
    <w:p>
      <w:pPr>
        <w:spacing w:before="16" w:line="365" w:lineRule="auto"/>
        <w:ind w:left="0" w:leftChars="0" w:right="1005" w:firstLine="0" w:firstLineChars="0"/>
        <w:rPr>
          <w:rFonts w:ascii="宋体" w:hAnsi="宋体" w:eastAsia="仿宋" w:cs="仿宋"/>
          <w:sz w:val="24"/>
          <w:szCs w:val="24"/>
        </w:rPr>
      </w:pPr>
      <w:r>
        <w:rPr>
          <w:rFonts w:ascii="宋体" w:hAnsi="宋体" w:eastAsia="仿宋" w:cs="仿宋"/>
          <w:spacing w:val="1"/>
          <w:sz w:val="24"/>
          <w:szCs w:val="24"/>
        </w:rPr>
        <w:t>注:</w:t>
      </w:r>
      <w:r>
        <w:rPr>
          <w:rFonts w:ascii="宋体" w:hAnsi="宋体" w:eastAsia="仿宋" w:cs="仿宋"/>
          <w:spacing w:val="49"/>
          <w:sz w:val="24"/>
          <w:szCs w:val="24"/>
        </w:rPr>
        <w:t xml:space="preserve"> </w:t>
      </w:r>
      <w:r>
        <w:rPr>
          <w:rFonts w:ascii="宋体" w:hAnsi="宋体" w:eastAsia="仿宋" w:cs="仿宋"/>
          <w:spacing w:val="1"/>
          <w:sz w:val="24"/>
          <w:szCs w:val="24"/>
        </w:rPr>
        <w:t>1.加油站地址应详细注明县(市、区)</w:t>
      </w:r>
      <w:r>
        <w:rPr>
          <w:rFonts w:ascii="宋体" w:hAnsi="宋体" w:eastAsia="仿宋" w:cs="仿宋"/>
          <w:spacing w:val="16"/>
          <w:sz w:val="24"/>
          <w:szCs w:val="24"/>
        </w:rPr>
        <w:t xml:space="preserve"> </w:t>
      </w:r>
      <w:r>
        <w:rPr>
          <w:rFonts w:ascii="宋体" w:hAnsi="宋体" w:eastAsia="仿宋" w:cs="仿宋"/>
          <w:spacing w:val="1"/>
          <w:sz w:val="24"/>
          <w:szCs w:val="24"/>
        </w:rPr>
        <w:t>、乡镇、村、道路、门牌号;</w:t>
      </w:r>
    </w:p>
    <w:p>
      <w:pPr>
        <w:spacing w:before="8" w:line="222" w:lineRule="auto"/>
        <w:ind w:firstLine="1494"/>
        <w:rPr>
          <w:rFonts w:hint="eastAsia" w:ascii="宋体" w:hAnsi="宋体" w:eastAsia="仿宋"/>
          <w:lang w:eastAsia="zh-CN"/>
        </w:rPr>
        <w:sectPr>
          <w:footerReference r:id="rId8" w:type="default"/>
          <w:pgSz w:w="11900" w:h="16830"/>
          <w:pgMar w:top="1264" w:right="1055" w:bottom="1609" w:left="1564" w:header="0" w:footer="1471" w:gutter="0"/>
          <w:pgNumType w:fmt="numberInDash"/>
          <w:cols w:space="720" w:num="1"/>
        </w:sectPr>
      </w:pPr>
      <w:r>
        <w:rPr>
          <w:rFonts w:ascii="宋体" w:hAnsi="宋体" w:eastAsia="仿宋" w:cs="仿宋"/>
          <w:spacing w:val="3"/>
          <w:sz w:val="24"/>
          <w:szCs w:val="24"/>
        </w:rPr>
        <w:t>2.此表一式两份</w:t>
      </w:r>
      <w:r>
        <w:rPr>
          <w:rFonts w:hint="eastAsia" w:ascii="宋体" w:hAnsi="宋体" w:cs="仿宋"/>
          <w:spacing w:val="3"/>
          <w:sz w:val="24"/>
          <w:szCs w:val="24"/>
          <w:lang w:eastAsia="zh-CN"/>
        </w:rPr>
        <w:t>。</w:t>
      </w:r>
    </w:p>
    <w:p>
      <w:pPr>
        <w:pStyle w:val="2"/>
        <w:ind w:left="0" w:leftChars="0" w:firstLine="0" w:firstLineChars="0"/>
        <w:rPr>
          <w:rFonts w:hint="default" w:ascii="宋体" w:hAnsi="宋体" w:cs="Times New Roman"/>
          <w:color w:val="auto"/>
          <w:highlight w:val="none"/>
          <w:lang w:val="en-US" w:eastAsia="zh-CN"/>
        </w:rPr>
      </w:pPr>
      <w:bookmarkStart w:id="34" w:name="_GoBack"/>
      <w:bookmarkEnd w:id="34"/>
    </w:p>
    <w:sectPr>
      <w:footerReference r:id="rId9" w:type="default"/>
      <w:endnotePr>
        <w:numFmt w:val="decimal"/>
      </w:endnotePr>
      <w:pgSz w:w="11906" w:h="16838"/>
      <w:pgMar w:top="1440" w:right="1800" w:bottom="1440" w:left="1800" w:header="850" w:footer="85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B5AE6A-84F9-44B1-B80B-D122BB58353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embedRegular r:id="rId2" w:fontKey="{F7ED6648-5B89-42BD-86FB-43AFEBF28274}"/>
  </w:font>
  <w:font w:name="方正小标宋_GBK">
    <w:panose1 w:val="03000509000000000000"/>
    <w:charset w:val="86"/>
    <w:family w:val="auto"/>
    <w:pitch w:val="default"/>
    <w:sig w:usb0="00000000" w:usb1="00000000" w:usb2="00000000" w:usb3="00000000" w:csb0="00000000" w:csb1="00000000"/>
    <w:embedRegular r:id="rId3" w:fontKey="{FB8DD754-FC04-4D55-A53A-DF1D551F1AD2}"/>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embedRegular r:id="rId4" w:fontKey="{56708586-EC71-4386-A9F7-F3C9F05144E7}"/>
  </w:font>
  <w:font w:name="方正小标宋简体">
    <w:panose1 w:val="03000509000000000000"/>
    <w:charset w:val="86"/>
    <w:family w:val="auto"/>
    <w:pitch w:val="default"/>
    <w:sig w:usb0="00000001" w:usb1="080E0000" w:usb2="00000000" w:usb3="00000000" w:csb0="00040000" w:csb1="00000000"/>
    <w:embedRegular r:id="rId5" w:fontKey="{7D150856-FC3E-424A-A186-AAC8C6A175C9}"/>
  </w:font>
  <w:font w:name="方正仿宋简体">
    <w:panose1 w:val="03000509000000000000"/>
    <w:charset w:val="86"/>
    <w:family w:val="auto"/>
    <w:pitch w:val="default"/>
    <w:sig w:usb0="00000001" w:usb1="080E0000" w:usb2="00000000" w:usb3="00000000" w:csb0="00040000" w:csb1="00000000"/>
    <w:embedRegular r:id="rId6" w:fontKey="{F7B45B18-9A5F-470B-974E-E3CAB17241B4}"/>
  </w:font>
  <w:font w:name="仿宋_GB2312">
    <w:panose1 w:val="02010609030101010101"/>
    <w:charset w:val="86"/>
    <w:family w:val="auto"/>
    <w:pitch w:val="default"/>
    <w:sig w:usb0="00000001" w:usb1="080E0000" w:usb2="00000000" w:usb3="00000000" w:csb0="00040000" w:csb1="00000000"/>
    <w:embedRegular r:id="rId7" w:fontKey="{06BD233A-3E63-42A3-934C-E94758586F2F}"/>
  </w:font>
  <w:font w:name="楷体_GB2312">
    <w:panose1 w:val="02010609030101010101"/>
    <w:charset w:val="86"/>
    <w:family w:val="auto"/>
    <w:pitch w:val="default"/>
    <w:sig w:usb0="00000001" w:usb1="080E0000" w:usb2="00000000" w:usb3="00000000" w:csb0="00040000" w:csb1="00000000"/>
    <w:embedRegular r:id="rId8" w:fontKey="{F83726FA-E5CB-4636-8D23-816F41ECB9E1}"/>
  </w:font>
  <w:font w:name="微软雅黑">
    <w:panose1 w:val="020B0503020204020204"/>
    <w:charset w:val="86"/>
    <w:family w:val="auto"/>
    <w:pitch w:val="default"/>
    <w:sig w:usb0="80000287" w:usb1="280F3C52" w:usb2="00000016" w:usb3="00000000" w:csb0="0004001F" w:csb1="00000000"/>
  </w:font>
  <w:font w:name="幼圆">
    <w:panose1 w:val="02010509060101010101"/>
    <w:charset w:val="86"/>
    <w:family w:val="auto"/>
    <w:pitch w:val="default"/>
    <w:sig w:usb0="00000001" w:usb1="080E0000" w:usb2="00000000" w:usb3="00000000" w:csb0="00040000" w:csb1="00000000"/>
    <w:embedRegular r:id="rId9" w:fontKey="{297DD14C-3737-4C17-B6D3-2E84CC170B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-476250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方正仿宋简体" w:hAnsi="方正仿宋简体" w:eastAsia="方正仿宋简体" w:cs="方正仿宋简体"/>
                              <w:sz w:val="24"/>
                              <w:szCs w:val="24"/>
                              <w:lang w:eastAsia="zh-CN"/>
                            </w:rPr>
                          </w:pPr>
                          <w:r>
                            <w:rPr>
                              <w:rFonts w:hint="eastAsia" w:ascii="方正仿宋简体" w:hAnsi="方正仿宋简体" w:eastAsia="方正仿宋简体" w:cs="方正仿宋简体"/>
                              <w:sz w:val="24"/>
                              <w:szCs w:val="24"/>
                              <w:lang w:eastAsia="zh-CN"/>
                            </w:rPr>
                            <w:fldChar w:fldCharType="begin"/>
                          </w:r>
                          <w:r>
                            <w:rPr>
                              <w:rFonts w:hint="eastAsia" w:ascii="方正仿宋简体" w:hAnsi="方正仿宋简体" w:eastAsia="方正仿宋简体" w:cs="方正仿宋简体"/>
                              <w:sz w:val="24"/>
                              <w:szCs w:val="24"/>
                              <w:lang w:eastAsia="zh-CN"/>
                            </w:rPr>
                            <w:instrText xml:space="preserve"> PAGE  \* MERGEFORMAT </w:instrText>
                          </w:r>
                          <w:r>
                            <w:rPr>
                              <w:rFonts w:hint="eastAsia" w:ascii="方正仿宋简体" w:hAnsi="方正仿宋简体" w:eastAsia="方正仿宋简体" w:cs="方正仿宋简体"/>
                              <w:sz w:val="24"/>
                              <w:szCs w:val="24"/>
                              <w:lang w:eastAsia="zh-CN"/>
                            </w:rPr>
                            <w:fldChar w:fldCharType="separate"/>
                          </w:r>
                          <w:r>
                            <w:rPr>
                              <w:rFonts w:hint="eastAsia" w:ascii="方正仿宋简体" w:hAnsi="方正仿宋简体" w:eastAsia="方正仿宋简体" w:cs="方正仿宋简体"/>
                              <w:sz w:val="24"/>
                              <w:szCs w:val="24"/>
                              <w:lang w:eastAsia="zh-CN"/>
                            </w:rPr>
                            <w:t>iv</w:t>
                          </w:r>
                          <w:r>
                            <w:rPr>
                              <w:rFonts w:hint="eastAsia" w:ascii="方正仿宋简体" w:hAnsi="方正仿宋简体" w:eastAsia="方正仿宋简体" w:cs="方正仿宋简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7.5pt;height:144pt;width:144pt;mso-position-horizontal:outside;mso-position-horizontal-relative:margin;mso-wrap-style:none;z-index:251659264;mso-width-relative:page;mso-height-relative:page;" filled="f" stroked="f" coordsize="21600,21600" o:gfxdata="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ZL/Wj1QAAAAgBAAAPAAAAAAAAAAEA&#10;IAAAACIAAABkcnMvZG93bnJldi54bWxQSwECFAAUAAAACACHTuJAStvN/xICAAATBAAADgAAAAAA&#10;AAABACAAAAAkAQAAZHJzL2Uyb0RvYy54bWxQSwUGAAAAAAYABgBZAQAAqAUAAAAA&#10;">
              <v:fill on="f" focussize="0,0"/>
              <v:stroke on="f" weight="0.5pt"/>
              <v:imagedata o:title=""/>
              <o:lock v:ext="edit" aspectratio="f"/>
              <v:textbox inset="0mm,0mm,0mm,0mm" style="mso-fit-shape-to-text:t;">
                <w:txbxContent>
                  <w:p>
                    <w:pPr>
                      <w:pStyle w:val="9"/>
                      <w:rPr>
                        <w:rFonts w:hint="eastAsia" w:ascii="方正仿宋简体" w:hAnsi="方正仿宋简体" w:eastAsia="方正仿宋简体" w:cs="方正仿宋简体"/>
                        <w:sz w:val="24"/>
                        <w:szCs w:val="24"/>
                        <w:lang w:eastAsia="zh-CN"/>
                      </w:rPr>
                    </w:pPr>
                    <w:r>
                      <w:rPr>
                        <w:rFonts w:hint="eastAsia" w:ascii="方正仿宋简体" w:hAnsi="方正仿宋简体" w:eastAsia="方正仿宋简体" w:cs="方正仿宋简体"/>
                        <w:sz w:val="24"/>
                        <w:szCs w:val="24"/>
                        <w:lang w:eastAsia="zh-CN"/>
                      </w:rPr>
                      <w:fldChar w:fldCharType="begin"/>
                    </w:r>
                    <w:r>
                      <w:rPr>
                        <w:rFonts w:hint="eastAsia" w:ascii="方正仿宋简体" w:hAnsi="方正仿宋简体" w:eastAsia="方正仿宋简体" w:cs="方正仿宋简体"/>
                        <w:sz w:val="24"/>
                        <w:szCs w:val="24"/>
                        <w:lang w:eastAsia="zh-CN"/>
                      </w:rPr>
                      <w:instrText xml:space="preserve"> PAGE  \* MERGEFORMAT </w:instrText>
                    </w:r>
                    <w:r>
                      <w:rPr>
                        <w:rFonts w:hint="eastAsia" w:ascii="方正仿宋简体" w:hAnsi="方正仿宋简体" w:eastAsia="方正仿宋简体" w:cs="方正仿宋简体"/>
                        <w:sz w:val="24"/>
                        <w:szCs w:val="24"/>
                        <w:lang w:eastAsia="zh-CN"/>
                      </w:rPr>
                      <w:fldChar w:fldCharType="separate"/>
                    </w:r>
                    <w:r>
                      <w:rPr>
                        <w:rFonts w:hint="eastAsia" w:ascii="方正仿宋简体" w:hAnsi="方正仿宋简体" w:eastAsia="方正仿宋简体" w:cs="方正仿宋简体"/>
                        <w:sz w:val="24"/>
                        <w:szCs w:val="24"/>
                        <w:lang w:eastAsia="zh-CN"/>
                      </w:rPr>
                      <w:t>iv</w:t>
                    </w:r>
                    <w:r>
                      <w:rPr>
                        <w:rFonts w:hint="eastAsia" w:ascii="方正仿宋简体" w:hAnsi="方正仿宋简体" w:eastAsia="方正仿宋简体" w:cs="方正仿宋简体"/>
                        <w:sz w:val="24"/>
                        <w:szCs w:val="24"/>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38" w:lineRule="exact"/>
      <w:rPr>
        <w:rFonts w:ascii="幼圆" w:hAnsi="幼圆" w:eastAsia="幼圆" w:cs="幼圆"/>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lviii</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pStyle w:val="9"/>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lviii</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38" w:lineRule="exact"/>
      <w:ind w:left="0" w:leftChars="0" w:firstLine="0" w:firstLineChars="0"/>
      <w:rPr>
        <w:rFonts w:ascii="宋体" w:hAnsi="宋体" w:eastAsia="宋体" w:cs="宋体"/>
        <w:sz w:val="20"/>
        <w:szCs w:val="20"/>
      </w:rPr>
    </w:pPr>
    <w:r>
      <w:rPr>
        <w:sz w:val="2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lxii</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9"/>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lxii</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keepNext w:val="0"/>
      <w:keepLines w:val="0"/>
      <w:pageBreakBefore w:val="0"/>
      <w:widowControl w:val="0"/>
      <w:pBdr>
        <w:bottom w:val="double" w:color="auto" w:sz="8" w:space="1"/>
      </w:pBdr>
      <w:kinsoku/>
      <w:wordWrap/>
      <w:overflowPunct/>
      <w:topLinePunct w:val="0"/>
      <w:autoSpaceDE/>
      <w:autoSpaceDN/>
      <w:bidi w:val="0"/>
      <w:adjustRightInd/>
      <w:snapToGrid w:val="0"/>
      <w:spacing w:line="240" w:lineRule="auto"/>
      <w:jc w:val="right"/>
      <w:textAlignment w:val="auto"/>
      <w:rPr>
        <w:rFonts w:hint="eastAsia" w:ascii="宋体" w:hAnsi="宋体" w:cs="宋体"/>
        <w:sz w:val="24"/>
        <w:szCs w:val="24"/>
        <w:lang w:val="en-US" w:eastAsia="zh-CN"/>
      </w:rPr>
    </w:pPr>
  </w:p>
  <w:p>
    <w:pPr>
      <w:pStyle w:val="10"/>
      <w:keepNext w:val="0"/>
      <w:keepLines w:val="0"/>
      <w:pageBreakBefore w:val="0"/>
      <w:widowControl w:val="0"/>
      <w:pBdr>
        <w:bottom w:val="double" w:color="auto" w:sz="8" w:space="1"/>
      </w:pBdr>
      <w:kinsoku/>
      <w:wordWrap/>
      <w:overflowPunct/>
      <w:topLinePunct w:val="0"/>
      <w:autoSpaceDE/>
      <w:autoSpaceDN/>
      <w:bidi w:val="0"/>
      <w:adjustRightInd/>
      <w:snapToGrid w:val="0"/>
      <w:spacing w:line="240" w:lineRule="auto"/>
      <w:jc w:val="right"/>
      <w:textAlignment w:val="auto"/>
      <w:rPr>
        <w:rFonts w:hint="eastAsia" w:ascii="宋体" w:hAnsi="宋体" w:cs="宋体"/>
        <w:sz w:val="24"/>
        <w:szCs w:val="24"/>
        <w:lang w:val="en-US" w:eastAsia="zh-CN"/>
      </w:rPr>
    </w:pPr>
  </w:p>
  <w:p>
    <w:pPr>
      <w:pStyle w:val="10"/>
      <w:keepNext w:val="0"/>
      <w:keepLines w:val="0"/>
      <w:pageBreakBefore w:val="0"/>
      <w:widowControl w:val="0"/>
      <w:pBdr>
        <w:bottom w:val="double" w:color="auto" w:sz="8" w:space="1"/>
      </w:pBdr>
      <w:kinsoku/>
      <w:wordWrap/>
      <w:overflowPunct/>
      <w:topLinePunct w:val="0"/>
      <w:autoSpaceDE/>
      <w:autoSpaceDN/>
      <w:bidi w:val="0"/>
      <w:adjustRightInd/>
      <w:snapToGrid w:val="0"/>
      <w:spacing w:line="240" w:lineRule="auto"/>
      <w:jc w:val="right"/>
      <w:textAlignment w:val="auto"/>
      <w:rPr>
        <w:rFonts w:hint="eastAsia" w:ascii="宋体" w:hAnsi="宋体" w:cs="宋体"/>
        <w:sz w:val="24"/>
        <w:szCs w:val="24"/>
        <w:lang w:val="en-US" w:eastAsia="zh-CN"/>
      </w:rPr>
    </w:pPr>
  </w:p>
  <w:p>
    <w:pPr>
      <w:pStyle w:val="10"/>
      <w:keepNext w:val="0"/>
      <w:keepLines w:val="0"/>
      <w:pageBreakBefore w:val="0"/>
      <w:widowControl w:val="0"/>
      <w:pBdr>
        <w:bottom w:val="double" w:color="auto" w:sz="8" w:space="1"/>
      </w:pBdr>
      <w:kinsoku/>
      <w:wordWrap/>
      <w:overflowPunct/>
      <w:topLinePunct w:val="0"/>
      <w:autoSpaceDE/>
      <w:autoSpaceDN/>
      <w:bidi w:val="0"/>
      <w:adjustRightInd/>
      <w:snapToGrid w:val="0"/>
      <w:spacing w:line="240" w:lineRule="auto"/>
      <w:jc w:val="right"/>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第二师铁门关市</w:t>
    </w:r>
    <w:r>
      <w:rPr>
        <w:rFonts w:hint="eastAsia" w:ascii="宋体" w:hAnsi="宋体" w:eastAsia="宋体" w:cs="宋体"/>
        <w:sz w:val="24"/>
        <w:szCs w:val="24"/>
        <w:lang w:val="en-US" w:eastAsia="zh-CN"/>
      </w:rPr>
      <w:t>成品油零售体系</w:t>
    </w:r>
    <w:r>
      <w:rPr>
        <w:rFonts w:hint="eastAsia" w:ascii="宋体" w:hAnsi="宋体" w:cs="宋体"/>
        <w:sz w:val="24"/>
        <w:szCs w:val="24"/>
        <w:lang w:eastAsia="zh-CN"/>
      </w:rPr>
      <w:t>“</w:t>
    </w:r>
    <w:r>
      <w:rPr>
        <w:rFonts w:hint="eastAsia" w:ascii="宋体" w:hAnsi="宋体" w:eastAsia="宋体" w:cs="宋体"/>
        <w:sz w:val="24"/>
        <w:szCs w:val="24"/>
      </w:rPr>
      <w:t>十四五</w:t>
    </w:r>
    <w:r>
      <w:rPr>
        <w:rFonts w:hint="eastAsia" w:ascii="宋体" w:hAnsi="宋体" w:cs="宋体"/>
        <w:sz w:val="24"/>
        <w:szCs w:val="24"/>
        <w:lang w:eastAsia="zh-CN"/>
      </w:rPr>
      <w:t>”</w:t>
    </w:r>
    <w:r>
      <w:rPr>
        <w:rFonts w:hint="eastAsia" w:ascii="宋体" w:hAnsi="宋体" w:eastAsia="宋体" w:cs="宋体"/>
        <w:sz w:val="24"/>
        <w:szCs w:val="24"/>
      </w:rPr>
      <w:t>规划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8F3890"/>
    <w:multiLevelType w:val="multilevel"/>
    <w:tmpl w:val="B48F3890"/>
    <w:lvl w:ilvl="0" w:tentative="0">
      <w:start w:val="1"/>
      <w:numFmt w:val="chineseCountingThousand"/>
      <w:lvlText w:val="第%1章 "/>
      <w:lvlJc w:val="left"/>
      <w:pPr>
        <w:ind w:left="420" w:hanging="420"/>
      </w:pPr>
      <w:rPr>
        <w:rFonts w:hint="eastAsia"/>
      </w:rPr>
    </w:lvl>
    <w:lvl w:ilvl="1" w:tentative="0">
      <w:start w:val="1"/>
      <w:numFmt w:val="none"/>
      <w:pStyle w:val="4"/>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6"/>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BF93DE17"/>
    <w:multiLevelType w:val="singleLevel"/>
    <w:tmpl w:val="BF93DE17"/>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lMTVjZDA1Njc4OTYyZjFiOWFmMzUwNTNlNWE4ZGMifQ=="/>
  </w:docVars>
  <w:rsids>
    <w:rsidRoot w:val="00172A27"/>
    <w:rsid w:val="00167CA1"/>
    <w:rsid w:val="00274D3E"/>
    <w:rsid w:val="00593700"/>
    <w:rsid w:val="00594F32"/>
    <w:rsid w:val="00702588"/>
    <w:rsid w:val="007C357E"/>
    <w:rsid w:val="008326A7"/>
    <w:rsid w:val="00861DAB"/>
    <w:rsid w:val="008D5B8E"/>
    <w:rsid w:val="009C0176"/>
    <w:rsid w:val="00A91CC2"/>
    <w:rsid w:val="00AF4915"/>
    <w:rsid w:val="00B30468"/>
    <w:rsid w:val="00DE133D"/>
    <w:rsid w:val="00F64C2A"/>
    <w:rsid w:val="01015271"/>
    <w:rsid w:val="01071A1C"/>
    <w:rsid w:val="011A0F9D"/>
    <w:rsid w:val="01207B0A"/>
    <w:rsid w:val="01795865"/>
    <w:rsid w:val="01A50394"/>
    <w:rsid w:val="01C85314"/>
    <w:rsid w:val="01F23452"/>
    <w:rsid w:val="01F33195"/>
    <w:rsid w:val="01FA58CC"/>
    <w:rsid w:val="01FC503E"/>
    <w:rsid w:val="01FF4EA0"/>
    <w:rsid w:val="0212505B"/>
    <w:rsid w:val="022174EF"/>
    <w:rsid w:val="022F262F"/>
    <w:rsid w:val="023C15B0"/>
    <w:rsid w:val="02445A7A"/>
    <w:rsid w:val="024F5702"/>
    <w:rsid w:val="02650A7C"/>
    <w:rsid w:val="028267A1"/>
    <w:rsid w:val="028C7153"/>
    <w:rsid w:val="02977E5B"/>
    <w:rsid w:val="02986327"/>
    <w:rsid w:val="02AF31FA"/>
    <w:rsid w:val="02BE2D95"/>
    <w:rsid w:val="030B6598"/>
    <w:rsid w:val="032F3233"/>
    <w:rsid w:val="03305A05"/>
    <w:rsid w:val="03426E43"/>
    <w:rsid w:val="036B7036"/>
    <w:rsid w:val="0375069B"/>
    <w:rsid w:val="03830913"/>
    <w:rsid w:val="038A7E04"/>
    <w:rsid w:val="03C24D40"/>
    <w:rsid w:val="03C60A51"/>
    <w:rsid w:val="03D3468E"/>
    <w:rsid w:val="03EC2061"/>
    <w:rsid w:val="03F1170B"/>
    <w:rsid w:val="03F4702C"/>
    <w:rsid w:val="042973BB"/>
    <w:rsid w:val="044248FC"/>
    <w:rsid w:val="04537A48"/>
    <w:rsid w:val="04602913"/>
    <w:rsid w:val="04757F3C"/>
    <w:rsid w:val="04822117"/>
    <w:rsid w:val="048E07CF"/>
    <w:rsid w:val="04A13FF4"/>
    <w:rsid w:val="04AD4539"/>
    <w:rsid w:val="04B030E8"/>
    <w:rsid w:val="04F1171A"/>
    <w:rsid w:val="04FF037E"/>
    <w:rsid w:val="051B7027"/>
    <w:rsid w:val="052A2D4B"/>
    <w:rsid w:val="05301EC5"/>
    <w:rsid w:val="0534627A"/>
    <w:rsid w:val="054E673D"/>
    <w:rsid w:val="057B6076"/>
    <w:rsid w:val="057E214F"/>
    <w:rsid w:val="058D2852"/>
    <w:rsid w:val="059C6844"/>
    <w:rsid w:val="059D1F6C"/>
    <w:rsid w:val="05AB52CD"/>
    <w:rsid w:val="05AB65A9"/>
    <w:rsid w:val="05BF6A82"/>
    <w:rsid w:val="05CA3C5E"/>
    <w:rsid w:val="05CC0260"/>
    <w:rsid w:val="05EB56DA"/>
    <w:rsid w:val="061F2029"/>
    <w:rsid w:val="062B5EBA"/>
    <w:rsid w:val="067601CC"/>
    <w:rsid w:val="06790773"/>
    <w:rsid w:val="069926C1"/>
    <w:rsid w:val="069A5994"/>
    <w:rsid w:val="06A22280"/>
    <w:rsid w:val="06DC32E9"/>
    <w:rsid w:val="06FF3F7A"/>
    <w:rsid w:val="070A03DB"/>
    <w:rsid w:val="07101013"/>
    <w:rsid w:val="0730481F"/>
    <w:rsid w:val="0760178D"/>
    <w:rsid w:val="07607F83"/>
    <w:rsid w:val="077664CC"/>
    <w:rsid w:val="078B5555"/>
    <w:rsid w:val="078D2AD1"/>
    <w:rsid w:val="07914B26"/>
    <w:rsid w:val="07941252"/>
    <w:rsid w:val="07970048"/>
    <w:rsid w:val="07995ACC"/>
    <w:rsid w:val="07AD2274"/>
    <w:rsid w:val="07D27526"/>
    <w:rsid w:val="07DA4E9B"/>
    <w:rsid w:val="07E83C39"/>
    <w:rsid w:val="080511E6"/>
    <w:rsid w:val="080F0A6D"/>
    <w:rsid w:val="084542FA"/>
    <w:rsid w:val="086E3851"/>
    <w:rsid w:val="087B2939"/>
    <w:rsid w:val="08AD5AC2"/>
    <w:rsid w:val="08B40A41"/>
    <w:rsid w:val="08BE3C21"/>
    <w:rsid w:val="08C753D2"/>
    <w:rsid w:val="08DD15CB"/>
    <w:rsid w:val="08E05700"/>
    <w:rsid w:val="08F86AF6"/>
    <w:rsid w:val="091054E0"/>
    <w:rsid w:val="09254BA5"/>
    <w:rsid w:val="092F7CE4"/>
    <w:rsid w:val="09507563"/>
    <w:rsid w:val="09864727"/>
    <w:rsid w:val="09904A1E"/>
    <w:rsid w:val="09AD6446"/>
    <w:rsid w:val="09B0353C"/>
    <w:rsid w:val="09C054DD"/>
    <w:rsid w:val="09FD5E09"/>
    <w:rsid w:val="0A0A75A9"/>
    <w:rsid w:val="0A1057AD"/>
    <w:rsid w:val="0A134D8D"/>
    <w:rsid w:val="0A14092F"/>
    <w:rsid w:val="0A421B07"/>
    <w:rsid w:val="0A4B4484"/>
    <w:rsid w:val="0A6763A8"/>
    <w:rsid w:val="0A7E7920"/>
    <w:rsid w:val="0A863EEA"/>
    <w:rsid w:val="0A8D5015"/>
    <w:rsid w:val="0AA10833"/>
    <w:rsid w:val="0AB066F0"/>
    <w:rsid w:val="0AC45233"/>
    <w:rsid w:val="0ACA0AE6"/>
    <w:rsid w:val="0ACE07DE"/>
    <w:rsid w:val="0AD656DD"/>
    <w:rsid w:val="0B0F647C"/>
    <w:rsid w:val="0B40580D"/>
    <w:rsid w:val="0B451291"/>
    <w:rsid w:val="0B5F26DA"/>
    <w:rsid w:val="0BBC4583"/>
    <w:rsid w:val="0BC21B33"/>
    <w:rsid w:val="0BC419DA"/>
    <w:rsid w:val="0BCA197A"/>
    <w:rsid w:val="0BE040C7"/>
    <w:rsid w:val="0BEE1752"/>
    <w:rsid w:val="0BF754A5"/>
    <w:rsid w:val="0BFA47FC"/>
    <w:rsid w:val="0C110676"/>
    <w:rsid w:val="0C4A5CA2"/>
    <w:rsid w:val="0C5C1C12"/>
    <w:rsid w:val="0C5F1F2E"/>
    <w:rsid w:val="0C5F2B42"/>
    <w:rsid w:val="0C7A1268"/>
    <w:rsid w:val="0C93109D"/>
    <w:rsid w:val="0CA439C7"/>
    <w:rsid w:val="0CA80281"/>
    <w:rsid w:val="0CCC0A5E"/>
    <w:rsid w:val="0D0B43D6"/>
    <w:rsid w:val="0D106EF3"/>
    <w:rsid w:val="0D15296F"/>
    <w:rsid w:val="0D205918"/>
    <w:rsid w:val="0D3A05B9"/>
    <w:rsid w:val="0D3A7D75"/>
    <w:rsid w:val="0D400A89"/>
    <w:rsid w:val="0D455AEE"/>
    <w:rsid w:val="0D5C3806"/>
    <w:rsid w:val="0D722AE9"/>
    <w:rsid w:val="0D7904AF"/>
    <w:rsid w:val="0D9448C3"/>
    <w:rsid w:val="0DA10050"/>
    <w:rsid w:val="0DB46309"/>
    <w:rsid w:val="0DCC7499"/>
    <w:rsid w:val="0E0726A6"/>
    <w:rsid w:val="0E2248F2"/>
    <w:rsid w:val="0E22530E"/>
    <w:rsid w:val="0E322681"/>
    <w:rsid w:val="0E3269E6"/>
    <w:rsid w:val="0E413D53"/>
    <w:rsid w:val="0E666B26"/>
    <w:rsid w:val="0E8332D7"/>
    <w:rsid w:val="0E9E56F8"/>
    <w:rsid w:val="0EA02C2B"/>
    <w:rsid w:val="0EAF07D1"/>
    <w:rsid w:val="0EAF3F8E"/>
    <w:rsid w:val="0EB17759"/>
    <w:rsid w:val="0F026AA1"/>
    <w:rsid w:val="0F0F1019"/>
    <w:rsid w:val="0F1E159D"/>
    <w:rsid w:val="0F382F71"/>
    <w:rsid w:val="0F3C6E3B"/>
    <w:rsid w:val="0F732B13"/>
    <w:rsid w:val="0F8312E6"/>
    <w:rsid w:val="0F9E3312"/>
    <w:rsid w:val="0FBD1386"/>
    <w:rsid w:val="0FD0094D"/>
    <w:rsid w:val="0FDB4361"/>
    <w:rsid w:val="0FE44E94"/>
    <w:rsid w:val="100834E1"/>
    <w:rsid w:val="102875E8"/>
    <w:rsid w:val="10403FB0"/>
    <w:rsid w:val="10675C84"/>
    <w:rsid w:val="106D261B"/>
    <w:rsid w:val="1073159F"/>
    <w:rsid w:val="10B65D95"/>
    <w:rsid w:val="10BC16A8"/>
    <w:rsid w:val="10BE06BC"/>
    <w:rsid w:val="10E25716"/>
    <w:rsid w:val="10F32755"/>
    <w:rsid w:val="11052303"/>
    <w:rsid w:val="113C79BD"/>
    <w:rsid w:val="113F685C"/>
    <w:rsid w:val="114C143B"/>
    <w:rsid w:val="11643E44"/>
    <w:rsid w:val="116E4090"/>
    <w:rsid w:val="1181620C"/>
    <w:rsid w:val="118772DB"/>
    <w:rsid w:val="1191798E"/>
    <w:rsid w:val="11BC5EC8"/>
    <w:rsid w:val="11FE7297"/>
    <w:rsid w:val="1206490C"/>
    <w:rsid w:val="121A0975"/>
    <w:rsid w:val="1241535A"/>
    <w:rsid w:val="12444D74"/>
    <w:rsid w:val="12700CEC"/>
    <w:rsid w:val="127E342D"/>
    <w:rsid w:val="128C6181"/>
    <w:rsid w:val="12A73779"/>
    <w:rsid w:val="12D9220E"/>
    <w:rsid w:val="12DB4F3B"/>
    <w:rsid w:val="12E93A91"/>
    <w:rsid w:val="130A1743"/>
    <w:rsid w:val="130F61CA"/>
    <w:rsid w:val="13185C56"/>
    <w:rsid w:val="13291C31"/>
    <w:rsid w:val="13340733"/>
    <w:rsid w:val="13347AB3"/>
    <w:rsid w:val="1348116E"/>
    <w:rsid w:val="136B0FDB"/>
    <w:rsid w:val="136B170A"/>
    <w:rsid w:val="138369B9"/>
    <w:rsid w:val="13847988"/>
    <w:rsid w:val="139428A1"/>
    <w:rsid w:val="13C51E92"/>
    <w:rsid w:val="13EE0ECA"/>
    <w:rsid w:val="13FB4F3D"/>
    <w:rsid w:val="140532E2"/>
    <w:rsid w:val="14103CF9"/>
    <w:rsid w:val="1418490B"/>
    <w:rsid w:val="14186D67"/>
    <w:rsid w:val="141C09BF"/>
    <w:rsid w:val="142A15EC"/>
    <w:rsid w:val="14643D5A"/>
    <w:rsid w:val="148A69AC"/>
    <w:rsid w:val="148A7C64"/>
    <w:rsid w:val="14903FBB"/>
    <w:rsid w:val="14B338D2"/>
    <w:rsid w:val="14BD03B6"/>
    <w:rsid w:val="14D233B9"/>
    <w:rsid w:val="14D848CC"/>
    <w:rsid w:val="14E804E7"/>
    <w:rsid w:val="14FA58A2"/>
    <w:rsid w:val="150316F1"/>
    <w:rsid w:val="1509166A"/>
    <w:rsid w:val="1510338C"/>
    <w:rsid w:val="152534E9"/>
    <w:rsid w:val="156B55B3"/>
    <w:rsid w:val="157E2AAA"/>
    <w:rsid w:val="1580202F"/>
    <w:rsid w:val="158B1B1C"/>
    <w:rsid w:val="15902A3F"/>
    <w:rsid w:val="15A92908"/>
    <w:rsid w:val="15AF28DE"/>
    <w:rsid w:val="15BA234D"/>
    <w:rsid w:val="15BD5881"/>
    <w:rsid w:val="15EB4733"/>
    <w:rsid w:val="15EF3AF7"/>
    <w:rsid w:val="15FC2C9F"/>
    <w:rsid w:val="15FF38CF"/>
    <w:rsid w:val="161905EB"/>
    <w:rsid w:val="162163A6"/>
    <w:rsid w:val="16393F66"/>
    <w:rsid w:val="166167A3"/>
    <w:rsid w:val="16666EB4"/>
    <w:rsid w:val="166F4779"/>
    <w:rsid w:val="167F4D91"/>
    <w:rsid w:val="168C0A0D"/>
    <w:rsid w:val="16971BA8"/>
    <w:rsid w:val="16AA0A0C"/>
    <w:rsid w:val="16BD7288"/>
    <w:rsid w:val="16DA6555"/>
    <w:rsid w:val="16DB53F3"/>
    <w:rsid w:val="16FD4745"/>
    <w:rsid w:val="17077253"/>
    <w:rsid w:val="17261D57"/>
    <w:rsid w:val="17555A28"/>
    <w:rsid w:val="176A17EF"/>
    <w:rsid w:val="176D50EC"/>
    <w:rsid w:val="17714DC0"/>
    <w:rsid w:val="17847454"/>
    <w:rsid w:val="17876375"/>
    <w:rsid w:val="17A074B3"/>
    <w:rsid w:val="17E05DED"/>
    <w:rsid w:val="17F32433"/>
    <w:rsid w:val="18016D77"/>
    <w:rsid w:val="1858225A"/>
    <w:rsid w:val="1867206B"/>
    <w:rsid w:val="186E3F29"/>
    <w:rsid w:val="187C3D68"/>
    <w:rsid w:val="187C750C"/>
    <w:rsid w:val="18B920F0"/>
    <w:rsid w:val="18B93BDC"/>
    <w:rsid w:val="18CA3EE4"/>
    <w:rsid w:val="18DB68EB"/>
    <w:rsid w:val="18E81697"/>
    <w:rsid w:val="18EA4077"/>
    <w:rsid w:val="190146F6"/>
    <w:rsid w:val="191D03AC"/>
    <w:rsid w:val="191D48B4"/>
    <w:rsid w:val="192B3BF0"/>
    <w:rsid w:val="193B371C"/>
    <w:rsid w:val="19516368"/>
    <w:rsid w:val="19567A09"/>
    <w:rsid w:val="195F25DF"/>
    <w:rsid w:val="197D4457"/>
    <w:rsid w:val="197E0F3B"/>
    <w:rsid w:val="197F26BA"/>
    <w:rsid w:val="19846FB3"/>
    <w:rsid w:val="1996321F"/>
    <w:rsid w:val="19A733AE"/>
    <w:rsid w:val="19B43684"/>
    <w:rsid w:val="19B71189"/>
    <w:rsid w:val="19BF22A3"/>
    <w:rsid w:val="19CD4B1D"/>
    <w:rsid w:val="19CE05F3"/>
    <w:rsid w:val="19DA5809"/>
    <w:rsid w:val="19E22DB6"/>
    <w:rsid w:val="19E36D79"/>
    <w:rsid w:val="19F11577"/>
    <w:rsid w:val="19FE255B"/>
    <w:rsid w:val="1A146110"/>
    <w:rsid w:val="1A214F7E"/>
    <w:rsid w:val="1A454E11"/>
    <w:rsid w:val="1A4A4AA8"/>
    <w:rsid w:val="1A5C2AEB"/>
    <w:rsid w:val="1A6D086F"/>
    <w:rsid w:val="1A7237BC"/>
    <w:rsid w:val="1A767877"/>
    <w:rsid w:val="1A793C19"/>
    <w:rsid w:val="1A98650B"/>
    <w:rsid w:val="1AB41847"/>
    <w:rsid w:val="1ABA3778"/>
    <w:rsid w:val="1B0F510C"/>
    <w:rsid w:val="1B2C3B1F"/>
    <w:rsid w:val="1B432D58"/>
    <w:rsid w:val="1B537C1F"/>
    <w:rsid w:val="1B6F3B6A"/>
    <w:rsid w:val="1B6F51C0"/>
    <w:rsid w:val="1B796F9E"/>
    <w:rsid w:val="1B7A3AC8"/>
    <w:rsid w:val="1B8F0624"/>
    <w:rsid w:val="1BB7522B"/>
    <w:rsid w:val="1BB87395"/>
    <w:rsid w:val="1BB97234"/>
    <w:rsid w:val="1BED2944"/>
    <w:rsid w:val="1BF75B65"/>
    <w:rsid w:val="1BFB3EDC"/>
    <w:rsid w:val="1C0569B4"/>
    <w:rsid w:val="1C181E5A"/>
    <w:rsid w:val="1C19680A"/>
    <w:rsid w:val="1C1C23B4"/>
    <w:rsid w:val="1C211AB5"/>
    <w:rsid w:val="1C291D11"/>
    <w:rsid w:val="1C2C2D5A"/>
    <w:rsid w:val="1C2D1AE6"/>
    <w:rsid w:val="1C47238B"/>
    <w:rsid w:val="1C603069"/>
    <w:rsid w:val="1C652648"/>
    <w:rsid w:val="1C751ACF"/>
    <w:rsid w:val="1C7D0824"/>
    <w:rsid w:val="1C7D4E7B"/>
    <w:rsid w:val="1C7E0BA1"/>
    <w:rsid w:val="1C980A44"/>
    <w:rsid w:val="1C995F15"/>
    <w:rsid w:val="1CA3649D"/>
    <w:rsid w:val="1CB32494"/>
    <w:rsid w:val="1CBA460A"/>
    <w:rsid w:val="1CC06926"/>
    <w:rsid w:val="1CC45010"/>
    <w:rsid w:val="1CC75370"/>
    <w:rsid w:val="1CCF145F"/>
    <w:rsid w:val="1CD4302F"/>
    <w:rsid w:val="1CE32EA5"/>
    <w:rsid w:val="1D035DBE"/>
    <w:rsid w:val="1D077978"/>
    <w:rsid w:val="1D1C6C84"/>
    <w:rsid w:val="1D5C7F9D"/>
    <w:rsid w:val="1D5F20E6"/>
    <w:rsid w:val="1D622779"/>
    <w:rsid w:val="1D7C2A4E"/>
    <w:rsid w:val="1D80149D"/>
    <w:rsid w:val="1D970CFC"/>
    <w:rsid w:val="1D984F1B"/>
    <w:rsid w:val="1D9F5466"/>
    <w:rsid w:val="1DA4773A"/>
    <w:rsid w:val="1DC11CFB"/>
    <w:rsid w:val="1DC72F6C"/>
    <w:rsid w:val="1DD004C6"/>
    <w:rsid w:val="1DDD312B"/>
    <w:rsid w:val="1DF93765"/>
    <w:rsid w:val="1E0C3BCA"/>
    <w:rsid w:val="1E0C712D"/>
    <w:rsid w:val="1E171E3D"/>
    <w:rsid w:val="1E2D477D"/>
    <w:rsid w:val="1E60720B"/>
    <w:rsid w:val="1E6901C6"/>
    <w:rsid w:val="1E811A64"/>
    <w:rsid w:val="1E86413D"/>
    <w:rsid w:val="1E8668DD"/>
    <w:rsid w:val="1E866EEE"/>
    <w:rsid w:val="1E8B2E75"/>
    <w:rsid w:val="1E915458"/>
    <w:rsid w:val="1E956DB3"/>
    <w:rsid w:val="1EB50F5F"/>
    <w:rsid w:val="1EC433BD"/>
    <w:rsid w:val="1ECB6721"/>
    <w:rsid w:val="1ED77D52"/>
    <w:rsid w:val="1EF05D10"/>
    <w:rsid w:val="1F000CB8"/>
    <w:rsid w:val="1F1D3CCE"/>
    <w:rsid w:val="1F2365C6"/>
    <w:rsid w:val="1F2B392B"/>
    <w:rsid w:val="1F453CBA"/>
    <w:rsid w:val="1F9839D4"/>
    <w:rsid w:val="1F9D5DC8"/>
    <w:rsid w:val="1FAE30A1"/>
    <w:rsid w:val="1FC41032"/>
    <w:rsid w:val="1FE26F5A"/>
    <w:rsid w:val="1FF34DE1"/>
    <w:rsid w:val="201B5C14"/>
    <w:rsid w:val="2021431F"/>
    <w:rsid w:val="203D3E31"/>
    <w:rsid w:val="20586FE0"/>
    <w:rsid w:val="206476B5"/>
    <w:rsid w:val="207A7124"/>
    <w:rsid w:val="207E1E4A"/>
    <w:rsid w:val="208F215E"/>
    <w:rsid w:val="20947E38"/>
    <w:rsid w:val="209C2562"/>
    <w:rsid w:val="20A730E1"/>
    <w:rsid w:val="20C12723"/>
    <w:rsid w:val="20D02EA3"/>
    <w:rsid w:val="20E6437F"/>
    <w:rsid w:val="20EB1A8B"/>
    <w:rsid w:val="20EC2313"/>
    <w:rsid w:val="20F6374A"/>
    <w:rsid w:val="212F3A0E"/>
    <w:rsid w:val="213146F6"/>
    <w:rsid w:val="213C393C"/>
    <w:rsid w:val="21503504"/>
    <w:rsid w:val="215D6734"/>
    <w:rsid w:val="216052DC"/>
    <w:rsid w:val="21676058"/>
    <w:rsid w:val="218E599C"/>
    <w:rsid w:val="219A525F"/>
    <w:rsid w:val="21A25EC1"/>
    <w:rsid w:val="21BC7056"/>
    <w:rsid w:val="21C846D0"/>
    <w:rsid w:val="21D030B9"/>
    <w:rsid w:val="21D7200F"/>
    <w:rsid w:val="21F229A5"/>
    <w:rsid w:val="21FA3429"/>
    <w:rsid w:val="22245220"/>
    <w:rsid w:val="224D1B21"/>
    <w:rsid w:val="22670366"/>
    <w:rsid w:val="22883F14"/>
    <w:rsid w:val="229049BE"/>
    <w:rsid w:val="229A1C20"/>
    <w:rsid w:val="22A50270"/>
    <w:rsid w:val="22A77752"/>
    <w:rsid w:val="22AF7BD5"/>
    <w:rsid w:val="22B866EA"/>
    <w:rsid w:val="22D7177D"/>
    <w:rsid w:val="22D72F57"/>
    <w:rsid w:val="22E33441"/>
    <w:rsid w:val="22F637CC"/>
    <w:rsid w:val="22F74A8F"/>
    <w:rsid w:val="23073234"/>
    <w:rsid w:val="230C5CE8"/>
    <w:rsid w:val="23291A97"/>
    <w:rsid w:val="233A428E"/>
    <w:rsid w:val="235312BC"/>
    <w:rsid w:val="2361051B"/>
    <w:rsid w:val="23704A18"/>
    <w:rsid w:val="238F236B"/>
    <w:rsid w:val="23973569"/>
    <w:rsid w:val="23C30383"/>
    <w:rsid w:val="23C7400D"/>
    <w:rsid w:val="23CB0DBE"/>
    <w:rsid w:val="23DC0453"/>
    <w:rsid w:val="23DC7E35"/>
    <w:rsid w:val="23EE1281"/>
    <w:rsid w:val="23F24869"/>
    <w:rsid w:val="23F37E59"/>
    <w:rsid w:val="243279E1"/>
    <w:rsid w:val="243A5657"/>
    <w:rsid w:val="243F71BC"/>
    <w:rsid w:val="244464DA"/>
    <w:rsid w:val="245B26AE"/>
    <w:rsid w:val="245E4D94"/>
    <w:rsid w:val="24715E36"/>
    <w:rsid w:val="2472461B"/>
    <w:rsid w:val="247400BA"/>
    <w:rsid w:val="24B34E7F"/>
    <w:rsid w:val="24C2704C"/>
    <w:rsid w:val="24CB5EB2"/>
    <w:rsid w:val="250824DF"/>
    <w:rsid w:val="250D3BB0"/>
    <w:rsid w:val="251252C6"/>
    <w:rsid w:val="251F5D2D"/>
    <w:rsid w:val="252128D5"/>
    <w:rsid w:val="25230603"/>
    <w:rsid w:val="252670E7"/>
    <w:rsid w:val="2528343A"/>
    <w:rsid w:val="253700DB"/>
    <w:rsid w:val="253B486F"/>
    <w:rsid w:val="253E19C8"/>
    <w:rsid w:val="25494ECC"/>
    <w:rsid w:val="256C78C5"/>
    <w:rsid w:val="2582242A"/>
    <w:rsid w:val="258D6DE9"/>
    <w:rsid w:val="259B448A"/>
    <w:rsid w:val="25A70444"/>
    <w:rsid w:val="25AC6D43"/>
    <w:rsid w:val="25B67C7A"/>
    <w:rsid w:val="25BD2180"/>
    <w:rsid w:val="25C94FEA"/>
    <w:rsid w:val="262178C9"/>
    <w:rsid w:val="263739D8"/>
    <w:rsid w:val="264E7D00"/>
    <w:rsid w:val="26A77ED3"/>
    <w:rsid w:val="26AD32BA"/>
    <w:rsid w:val="26B06BB4"/>
    <w:rsid w:val="26D213B9"/>
    <w:rsid w:val="26E122E9"/>
    <w:rsid w:val="26F245DB"/>
    <w:rsid w:val="2707170E"/>
    <w:rsid w:val="27340EAA"/>
    <w:rsid w:val="274A42C4"/>
    <w:rsid w:val="276E23D6"/>
    <w:rsid w:val="27747138"/>
    <w:rsid w:val="277F1B26"/>
    <w:rsid w:val="27A527B8"/>
    <w:rsid w:val="27A866C8"/>
    <w:rsid w:val="27AA0490"/>
    <w:rsid w:val="27C00D65"/>
    <w:rsid w:val="27DD6BF6"/>
    <w:rsid w:val="28075AD0"/>
    <w:rsid w:val="280D3AE2"/>
    <w:rsid w:val="280E2980"/>
    <w:rsid w:val="282F4953"/>
    <w:rsid w:val="2838132E"/>
    <w:rsid w:val="28460082"/>
    <w:rsid w:val="284D76B0"/>
    <w:rsid w:val="284F101C"/>
    <w:rsid w:val="285D15F0"/>
    <w:rsid w:val="287417FD"/>
    <w:rsid w:val="28784A35"/>
    <w:rsid w:val="2883571C"/>
    <w:rsid w:val="28A11778"/>
    <w:rsid w:val="28A149A4"/>
    <w:rsid w:val="28B54980"/>
    <w:rsid w:val="28C56122"/>
    <w:rsid w:val="28CE1FD6"/>
    <w:rsid w:val="28D023DE"/>
    <w:rsid w:val="28DE6024"/>
    <w:rsid w:val="28F35AB6"/>
    <w:rsid w:val="29015B46"/>
    <w:rsid w:val="290336EA"/>
    <w:rsid w:val="2912385D"/>
    <w:rsid w:val="2919461E"/>
    <w:rsid w:val="2947724C"/>
    <w:rsid w:val="29557873"/>
    <w:rsid w:val="298E5A39"/>
    <w:rsid w:val="29A0692E"/>
    <w:rsid w:val="29D46D85"/>
    <w:rsid w:val="29DC7A63"/>
    <w:rsid w:val="29EC0E92"/>
    <w:rsid w:val="29F70B41"/>
    <w:rsid w:val="29FB18F5"/>
    <w:rsid w:val="2A2007F7"/>
    <w:rsid w:val="2A2403C6"/>
    <w:rsid w:val="2A36295B"/>
    <w:rsid w:val="2A3A6852"/>
    <w:rsid w:val="2A8647FB"/>
    <w:rsid w:val="2AA926DB"/>
    <w:rsid w:val="2AAF1E38"/>
    <w:rsid w:val="2AD23285"/>
    <w:rsid w:val="2AD4363E"/>
    <w:rsid w:val="2AD55A18"/>
    <w:rsid w:val="2AD56581"/>
    <w:rsid w:val="2B1B11BE"/>
    <w:rsid w:val="2B266B16"/>
    <w:rsid w:val="2B2E73ED"/>
    <w:rsid w:val="2B430715"/>
    <w:rsid w:val="2B490520"/>
    <w:rsid w:val="2B734114"/>
    <w:rsid w:val="2B7F6DFD"/>
    <w:rsid w:val="2B840069"/>
    <w:rsid w:val="2B8F6A17"/>
    <w:rsid w:val="2B9A33F8"/>
    <w:rsid w:val="2B9B79FD"/>
    <w:rsid w:val="2B9E0772"/>
    <w:rsid w:val="2BAD7A79"/>
    <w:rsid w:val="2BCA3E08"/>
    <w:rsid w:val="2BCF74CE"/>
    <w:rsid w:val="2BDF5B9F"/>
    <w:rsid w:val="2BEC7D92"/>
    <w:rsid w:val="2BED5F88"/>
    <w:rsid w:val="2C0005B8"/>
    <w:rsid w:val="2C2A64FA"/>
    <w:rsid w:val="2C410C5B"/>
    <w:rsid w:val="2C435C62"/>
    <w:rsid w:val="2C437E92"/>
    <w:rsid w:val="2C471B3F"/>
    <w:rsid w:val="2C786D2F"/>
    <w:rsid w:val="2C7B2C78"/>
    <w:rsid w:val="2C8758B3"/>
    <w:rsid w:val="2C893A50"/>
    <w:rsid w:val="2C945A1B"/>
    <w:rsid w:val="2CA82B5F"/>
    <w:rsid w:val="2CB84FDD"/>
    <w:rsid w:val="2CBD55B5"/>
    <w:rsid w:val="2CFB54C7"/>
    <w:rsid w:val="2CFE6B32"/>
    <w:rsid w:val="2D116B66"/>
    <w:rsid w:val="2D634D82"/>
    <w:rsid w:val="2D69229F"/>
    <w:rsid w:val="2D7744AD"/>
    <w:rsid w:val="2D87335E"/>
    <w:rsid w:val="2D8C5C48"/>
    <w:rsid w:val="2D8E5691"/>
    <w:rsid w:val="2DD06299"/>
    <w:rsid w:val="2DDD4399"/>
    <w:rsid w:val="2E073D49"/>
    <w:rsid w:val="2E143416"/>
    <w:rsid w:val="2E2110C6"/>
    <w:rsid w:val="2E3E367F"/>
    <w:rsid w:val="2E400327"/>
    <w:rsid w:val="2E4605A4"/>
    <w:rsid w:val="2E745C14"/>
    <w:rsid w:val="2EA27501"/>
    <w:rsid w:val="2EB35078"/>
    <w:rsid w:val="2EB56E0F"/>
    <w:rsid w:val="2EB678A6"/>
    <w:rsid w:val="2EC4290F"/>
    <w:rsid w:val="2EF74946"/>
    <w:rsid w:val="2F0D5D93"/>
    <w:rsid w:val="2F8861AD"/>
    <w:rsid w:val="2F9F5447"/>
    <w:rsid w:val="2FC74FFA"/>
    <w:rsid w:val="2FE63F86"/>
    <w:rsid w:val="2FF66973"/>
    <w:rsid w:val="2FF97BDD"/>
    <w:rsid w:val="30354656"/>
    <w:rsid w:val="305063EA"/>
    <w:rsid w:val="306801A6"/>
    <w:rsid w:val="306A1A54"/>
    <w:rsid w:val="308648DC"/>
    <w:rsid w:val="30B93CD0"/>
    <w:rsid w:val="30C20399"/>
    <w:rsid w:val="30E54481"/>
    <w:rsid w:val="30EB518F"/>
    <w:rsid w:val="30F529B1"/>
    <w:rsid w:val="310E4F73"/>
    <w:rsid w:val="3118735D"/>
    <w:rsid w:val="31283ADD"/>
    <w:rsid w:val="31373D42"/>
    <w:rsid w:val="31591BB5"/>
    <w:rsid w:val="3165475B"/>
    <w:rsid w:val="31851136"/>
    <w:rsid w:val="318A76C9"/>
    <w:rsid w:val="319139EF"/>
    <w:rsid w:val="3195403B"/>
    <w:rsid w:val="319E48F7"/>
    <w:rsid w:val="31AB2B70"/>
    <w:rsid w:val="31AD6D5E"/>
    <w:rsid w:val="31BB6922"/>
    <w:rsid w:val="31C55969"/>
    <w:rsid w:val="31F150B2"/>
    <w:rsid w:val="32044118"/>
    <w:rsid w:val="320451B2"/>
    <w:rsid w:val="32046AFC"/>
    <w:rsid w:val="32171425"/>
    <w:rsid w:val="32254C23"/>
    <w:rsid w:val="32537CD6"/>
    <w:rsid w:val="325D585E"/>
    <w:rsid w:val="327116BC"/>
    <w:rsid w:val="328A7C95"/>
    <w:rsid w:val="329F0927"/>
    <w:rsid w:val="32BC6038"/>
    <w:rsid w:val="32C20171"/>
    <w:rsid w:val="32CC51E4"/>
    <w:rsid w:val="32D45929"/>
    <w:rsid w:val="33015B50"/>
    <w:rsid w:val="331204AD"/>
    <w:rsid w:val="332A3B8A"/>
    <w:rsid w:val="33332E1D"/>
    <w:rsid w:val="33596178"/>
    <w:rsid w:val="335E1714"/>
    <w:rsid w:val="33A40BDB"/>
    <w:rsid w:val="33E52369"/>
    <w:rsid w:val="33EC194A"/>
    <w:rsid w:val="33FD774B"/>
    <w:rsid w:val="3401720F"/>
    <w:rsid w:val="341964B7"/>
    <w:rsid w:val="341F4C01"/>
    <w:rsid w:val="343F1696"/>
    <w:rsid w:val="344678F3"/>
    <w:rsid w:val="345B5CCC"/>
    <w:rsid w:val="347B46A1"/>
    <w:rsid w:val="348210E7"/>
    <w:rsid w:val="34907EA8"/>
    <w:rsid w:val="349F7915"/>
    <w:rsid w:val="34B6522E"/>
    <w:rsid w:val="34C657C8"/>
    <w:rsid w:val="34C93024"/>
    <w:rsid w:val="34CC177B"/>
    <w:rsid w:val="34E973E3"/>
    <w:rsid w:val="351E0B20"/>
    <w:rsid w:val="35290121"/>
    <w:rsid w:val="35373AB4"/>
    <w:rsid w:val="354761ED"/>
    <w:rsid w:val="354C7959"/>
    <w:rsid w:val="3551377D"/>
    <w:rsid w:val="3565465D"/>
    <w:rsid w:val="3567248B"/>
    <w:rsid w:val="358C6C3C"/>
    <w:rsid w:val="35A60463"/>
    <w:rsid w:val="35C07337"/>
    <w:rsid w:val="35C71978"/>
    <w:rsid w:val="35D242F1"/>
    <w:rsid w:val="35D6184E"/>
    <w:rsid w:val="360732FD"/>
    <w:rsid w:val="360A194B"/>
    <w:rsid w:val="36210DF1"/>
    <w:rsid w:val="36215262"/>
    <w:rsid w:val="36321AB2"/>
    <w:rsid w:val="364F2E8B"/>
    <w:rsid w:val="36563E70"/>
    <w:rsid w:val="36665BFF"/>
    <w:rsid w:val="367131C5"/>
    <w:rsid w:val="36722D9F"/>
    <w:rsid w:val="36791C9E"/>
    <w:rsid w:val="36A633C7"/>
    <w:rsid w:val="36C27D11"/>
    <w:rsid w:val="36D61BC6"/>
    <w:rsid w:val="36E979BB"/>
    <w:rsid w:val="36EB642D"/>
    <w:rsid w:val="36FD228D"/>
    <w:rsid w:val="36FD7811"/>
    <w:rsid w:val="370801F0"/>
    <w:rsid w:val="370D3C40"/>
    <w:rsid w:val="372A062A"/>
    <w:rsid w:val="373A223D"/>
    <w:rsid w:val="373D58B1"/>
    <w:rsid w:val="375E49A0"/>
    <w:rsid w:val="376517CF"/>
    <w:rsid w:val="37694EC9"/>
    <w:rsid w:val="376D0393"/>
    <w:rsid w:val="377C47AC"/>
    <w:rsid w:val="377C7F71"/>
    <w:rsid w:val="377E22B6"/>
    <w:rsid w:val="377F37CF"/>
    <w:rsid w:val="378D0FB3"/>
    <w:rsid w:val="379600F0"/>
    <w:rsid w:val="37A571F7"/>
    <w:rsid w:val="37C068CF"/>
    <w:rsid w:val="37D87638"/>
    <w:rsid w:val="38207732"/>
    <w:rsid w:val="38305022"/>
    <w:rsid w:val="384425D3"/>
    <w:rsid w:val="3844411C"/>
    <w:rsid w:val="38476EAC"/>
    <w:rsid w:val="38477663"/>
    <w:rsid w:val="38863662"/>
    <w:rsid w:val="38A05395"/>
    <w:rsid w:val="38A5096A"/>
    <w:rsid w:val="38C6289C"/>
    <w:rsid w:val="38D24E1A"/>
    <w:rsid w:val="38FE5998"/>
    <w:rsid w:val="391E6143"/>
    <w:rsid w:val="39232030"/>
    <w:rsid w:val="395A7B91"/>
    <w:rsid w:val="39657B4A"/>
    <w:rsid w:val="396E6595"/>
    <w:rsid w:val="39785614"/>
    <w:rsid w:val="39A17723"/>
    <w:rsid w:val="39BE5B37"/>
    <w:rsid w:val="39D65344"/>
    <w:rsid w:val="39DD673D"/>
    <w:rsid w:val="39EB51DE"/>
    <w:rsid w:val="3A15040D"/>
    <w:rsid w:val="3A341028"/>
    <w:rsid w:val="3A391B0B"/>
    <w:rsid w:val="3A440A14"/>
    <w:rsid w:val="3A452BEC"/>
    <w:rsid w:val="3A4B6C9E"/>
    <w:rsid w:val="3A647C4C"/>
    <w:rsid w:val="3A847213"/>
    <w:rsid w:val="3A8B5AD8"/>
    <w:rsid w:val="3AD453B7"/>
    <w:rsid w:val="3AD62FF2"/>
    <w:rsid w:val="3AD924FC"/>
    <w:rsid w:val="3AEC4995"/>
    <w:rsid w:val="3B0C207E"/>
    <w:rsid w:val="3B0C28D2"/>
    <w:rsid w:val="3B13567E"/>
    <w:rsid w:val="3B1C3A2C"/>
    <w:rsid w:val="3B1F0857"/>
    <w:rsid w:val="3B251BE5"/>
    <w:rsid w:val="3B2C2F74"/>
    <w:rsid w:val="3B3C55A4"/>
    <w:rsid w:val="3B5778CC"/>
    <w:rsid w:val="3B606314"/>
    <w:rsid w:val="3B76435A"/>
    <w:rsid w:val="3B77334F"/>
    <w:rsid w:val="3B7D732B"/>
    <w:rsid w:val="3B7E7E88"/>
    <w:rsid w:val="3B897C04"/>
    <w:rsid w:val="3B8C57C0"/>
    <w:rsid w:val="3B8F63FF"/>
    <w:rsid w:val="3B9308FD"/>
    <w:rsid w:val="3B983DBE"/>
    <w:rsid w:val="3B99682F"/>
    <w:rsid w:val="3BAE19EF"/>
    <w:rsid w:val="3BC622D9"/>
    <w:rsid w:val="3BCA1CFD"/>
    <w:rsid w:val="3BD70677"/>
    <w:rsid w:val="3C056FB8"/>
    <w:rsid w:val="3C082737"/>
    <w:rsid w:val="3C125174"/>
    <w:rsid w:val="3C145816"/>
    <w:rsid w:val="3C3155F9"/>
    <w:rsid w:val="3C7D58C1"/>
    <w:rsid w:val="3C7E15AD"/>
    <w:rsid w:val="3C904634"/>
    <w:rsid w:val="3C961DCF"/>
    <w:rsid w:val="3CB6420E"/>
    <w:rsid w:val="3D30204E"/>
    <w:rsid w:val="3D3167D7"/>
    <w:rsid w:val="3D3E75A9"/>
    <w:rsid w:val="3D5D11C3"/>
    <w:rsid w:val="3D5F3355"/>
    <w:rsid w:val="3D656DBF"/>
    <w:rsid w:val="3D6A779E"/>
    <w:rsid w:val="3D8F061C"/>
    <w:rsid w:val="3D9F0401"/>
    <w:rsid w:val="3DBB1645"/>
    <w:rsid w:val="3DC15F9A"/>
    <w:rsid w:val="3DC33A7D"/>
    <w:rsid w:val="3DC96858"/>
    <w:rsid w:val="3DCD2642"/>
    <w:rsid w:val="3DD50A58"/>
    <w:rsid w:val="3E09759C"/>
    <w:rsid w:val="3E0A58D9"/>
    <w:rsid w:val="3E2624E9"/>
    <w:rsid w:val="3E3E5D79"/>
    <w:rsid w:val="3E47157E"/>
    <w:rsid w:val="3E5A2993"/>
    <w:rsid w:val="3E617B71"/>
    <w:rsid w:val="3E8462FA"/>
    <w:rsid w:val="3E9230EE"/>
    <w:rsid w:val="3E9B4085"/>
    <w:rsid w:val="3EAC27EF"/>
    <w:rsid w:val="3EAC2907"/>
    <w:rsid w:val="3EB67625"/>
    <w:rsid w:val="3EDC6DA0"/>
    <w:rsid w:val="3EE07023"/>
    <w:rsid w:val="3F072A4C"/>
    <w:rsid w:val="3F392DA2"/>
    <w:rsid w:val="3F711A94"/>
    <w:rsid w:val="3F7566CC"/>
    <w:rsid w:val="3F8E0752"/>
    <w:rsid w:val="3F957741"/>
    <w:rsid w:val="3FA63B43"/>
    <w:rsid w:val="3FB8189D"/>
    <w:rsid w:val="3FC56DE7"/>
    <w:rsid w:val="3FD81C5F"/>
    <w:rsid w:val="3FF50106"/>
    <w:rsid w:val="400748F8"/>
    <w:rsid w:val="400A1B43"/>
    <w:rsid w:val="403A05ED"/>
    <w:rsid w:val="403D54EB"/>
    <w:rsid w:val="407F0886"/>
    <w:rsid w:val="40872107"/>
    <w:rsid w:val="40A50887"/>
    <w:rsid w:val="40BF2B4A"/>
    <w:rsid w:val="40C042ED"/>
    <w:rsid w:val="40D05751"/>
    <w:rsid w:val="40D90DCA"/>
    <w:rsid w:val="40DD2D5C"/>
    <w:rsid w:val="40F46098"/>
    <w:rsid w:val="41265D6F"/>
    <w:rsid w:val="4131755E"/>
    <w:rsid w:val="41435518"/>
    <w:rsid w:val="416A0E96"/>
    <w:rsid w:val="417F73C6"/>
    <w:rsid w:val="4194365B"/>
    <w:rsid w:val="41AC1E0D"/>
    <w:rsid w:val="41D530BE"/>
    <w:rsid w:val="41DC4B19"/>
    <w:rsid w:val="41E30708"/>
    <w:rsid w:val="41E73751"/>
    <w:rsid w:val="41FB71FC"/>
    <w:rsid w:val="421729F6"/>
    <w:rsid w:val="4217469F"/>
    <w:rsid w:val="42194063"/>
    <w:rsid w:val="423564D2"/>
    <w:rsid w:val="42A83F47"/>
    <w:rsid w:val="430B0CBA"/>
    <w:rsid w:val="431409E8"/>
    <w:rsid w:val="43362FBC"/>
    <w:rsid w:val="43470CF2"/>
    <w:rsid w:val="43640798"/>
    <w:rsid w:val="43842175"/>
    <w:rsid w:val="43D90B0A"/>
    <w:rsid w:val="43EA7940"/>
    <w:rsid w:val="43EB7182"/>
    <w:rsid w:val="440238E4"/>
    <w:rsid w:val="44073F79"/>
    <w:rsid w:val="441313D9"/>
    <w:rsid w:val="44330AE1"/>
    <w:rsid w:val="44635F34"/>
    <w:rsid w:val="447F3A4F"/>
    <w:rsid w:val="44AA2E86"/>
    <w:rsid w:val="44AD0C2A"/>
    <w:rsid w:val="44B13E8A"/>
    <w:rsid w:val="44BC0FF4"/>
    <w:rsid w:val="44DE20A2"/>
    <w:rsid w:val="44F615A6"/>
    <w:rsid w:val="453375BB"/>
    <w:rsid w:val="4541462D"/>
    <w:rsid w:val="45473F7C"/>
    <w:rsid w:val="45632D9C"/>
    <w:rsid w:val="45756BE4"/>
    <w:rsid w:val="458B4F00"/>
    <w:rsid w:val="45905262"/>
    <w:rsid w:val="4595153E"/>
    <w:rsid w:val="459D226A"/>
    <w:rsid w:val="45B76B90"/>
    <w:rsid w:val="45C510BD"/>
    <w:rsid w:val="45D32794"/>
    <w:rsid w:val="46193F2F"/>
    <w:rsid w:val="461E397E"/>
    <w:rsid w:val="461F539A"/>
    <w:rsid w:val="462639A3"/>
    <w:rsid w:val="463F6B7A"/>
    <w:rsid w:val="46511C79"/>
    <w:rsid w:val="466B5B15"/>
    <w:rsid w:val="46725748"/>
    <w:rsid w:val="46760B6B"/>
    <w:rsid w:val="467F01A8"/>
    <w:rsid w:val="467F16CE"/>
    <w:rsid w:val="46A512EE"/>
    <w:rsid w:val="46CE2B3F"/>
    <w:rsid w:val="46E44703"/>
    <w:rsid w:val="46E97AC9"/>
    <w:rsid w:val="47022FEF"/>
    <w:rsid w:val="47227559"/>
    <w:rsid w:val="4745712D"/>
    <w:rsid w:val="476A7533"/>
    <w:rsid w:val="47791FB5"/>
    <w:rsid w:val="47867B98"/>
    <w:rsid w:val="478C621B"/>
    <w:rsid w:val="47A47B8B"/>
    <w:rsid w:val="47B34C6D"/>
    <w:rsid w:val="47BA642E"/>
    <w:rsid w:val="47BF46F0"/>
    <w:rsid w:val="47E2170A"/>
    <w:rsid w:val="47E27198"/>
    <w:rsid w:val="47F67FB8"/>
    <w:rsid w:val="484709BB"/>
    <w:rsid w:val="484828FE"/>
    <w:rsid w:val="484F3DFE"/>
    <w:rsid w:val="485811E2"/>
    <w:rsid w:val="4884276A"/>
    <w:rsid w:val="488559EA"/>
    <w:rsid w:val="48972388"/>
    <w:rsid w:val="48DB1B35"/>
    <w:rsid w:val="48DF2393"/>
    <w:rsid w:val="490514E4"/>
    <w:rsid w:val="490A06EC"/>
    <w:rsid w:val="49227A30"/>
    <w:rsid w:val="493A303D"/>
    <w:rsid w:val="493C02E2"/>
    <w:rsid w:val="49463ADC"/>
    <w:rsid w:val="494B6CBB"/>
    <w:rsid w:val="49512922"/>
    <w:rsid w:val="49576BEF"/>
    <w:rsid w:val="49744BF1"/>
    <w:rsid w:val="49AB14E5"/>
    <w:rsid w:val="49E60D51"/>
    <w:rsid w:val="4A181912"/>
    <w:rsid w:val="4A224D16"/>
    <w:rsid w:val="4A363A4F"/>
    <w:rsid w:val="4A57233B"/>
    <w:rsid w:val="4A576114"/>
    <w:rsid w:val="4A711738"/>
    <w:rsid w:val="4AA46693"/>
    <w:rsid w:val="4AAA7D02"/>
    <w:rsid w:val="4AB31228"/>
    <w:rsid w:val="4ABC6A93"/>
    <w:rsid w:val="4ACC479A"/>
    <w:rsid w:val="4AD00A93"/>
    <w:rsid w:val="4AF401A8"/>
    <w:rsid w:val="4AFD6B7A"/>
    <w:rsid w:val="4B2A02BC"/>
    <w:rsid w:val="4B364DA1"/>
    <w:rsid w:val="4B555BCF"/>
    <w:rsid w:val="4B644064"/>
    <w:rsid w:val="4B666C39"/>
    <w:rsid w:val="4B7E5C76"/>
    <w:rsid w:val="4B944C64"/>
    <w:rsid w:val="4BA44460"/>
    <w:rsid w:val="4BD70505"/>
    <w:rsid w:val="4C0F0398"/>
    <w:rsid w:val="4C1622A5"/>
    <w:rsid w:val="4C4F7F8E"/>
    <w:rsid w:val="4C6676BC"/>
    <w:rsid w:val="4C71344B"/>
    <w:rsid w:val="4C8A40BB"/>
    <w:rsid w:val="4CA92AF9"/>
    <w:rsid w:val="4CBE6E45"/>
    <w:rsid w:val="4CCD2257"/>
    <w:rsid w:val="4D1473C4"/>
    <w:rsid w:val="4D19541A"/>
    <w:rsid w:val="4D2C2E13"/>
    <w:rsid w:val="4D3C3609"/>
    <w:rsid w:val="4D43295F"/>
    <w:rsid w:val="4D465060"/>
    <w:rsid w:val="4D633DDD"/>
    <w:rsid w:val="4D6F6C26"/>
    <w:rsid w:val="4D7036FF"/>
    <w:rsid w:val="4D822531"/>
    <w:rsid w:val="4DAB718A"/>
    <w:rsid w:val="4DBB2ED3"/>
    <w:rsid w:val="4DC657F1"/>
    <w:rsid w:val="4DE3390A"/>
    <w:rsid w:val="4DE66FB2"/>
    <w:rsid w:val="4E361648"/>
    <w:rsid w:val="4E460B08"/>
    <w:rsid w:val="4E557C94"/>
    <w:rsid w:val="4E582AA1"/>
    <w:rsid w:val="4E647B1E"/>
    <w:rsid w:val="4E9D0E5C"/>
    <w:rsid w:val="4EA21DD0"/>
    <w:rsid w:val="4F065585"/>
    <w:rsid w:val="4F0973FC"/>
    <w:rsid w:val="4F465922"/>
    <w:rsid w:val="4F6B2F95"/>
    <w:rsid w:val="4F900431"/>
    <w:rsid w:val="4FC43293"/>
    <w:rsid w:val="50005C69"/>
    <w:rsid w:val="501F2ABC"/>
    <w:rsid w:val="503132D9"/>
    <w:rsid w:val="503965C3"/>
    <w:rsid w:val="50436E2F"/>
    <w:rsid w:val="50452756"/>
    <w:rsid w:val="50544E9F"/>
    <w:rsid w:val="505F3B24"/>
    <w:rsid w:val="506B6D23"/>
    <w:rsid w:val="509E69D5"/>
    <w:rsid w:val="50AB282E"/>
    <w:rsid w:val="50EC4F35"/>
    <w:rsid w:val="50FB3ECF"/>
    <w:rsid w:val="50FE65F5"/>
    <w:rsid w:val="50FF0074"/>
    <w:rsid w:val="51032F03"/>
    <w:rsid w:val="510412F6"/>
    <w:rsid w:val="5107796B"/>
    <w:rsid w:val="51142088"/>
    <w:rsid w:val="511B137A"/>
    <w:rsid w:val="51273774"/>
    <w:rsid w:val="513417AB"/>
    <w:rsid w:val="513D0D96"/>
    <w:rsid w:val="513F4795"/>
    <w:rsid w:val="51477D68"/>
    <w:rsid w:val="51484028"/>
    <w:rsid w:val="51597A9B"/>
    <w:rsid w:val="517C722D"/>
    <w:rsid w:val="51851EB1"/>
    <w:rsid w:val="51886A45"/>
    <w:rsid w:val="519D0569"/>
    <w:rsid w:val="51C738E0"/>
    <w:rsid w:val="51D1098C"/>
    <w:rsid w:val="51DA53CD"/>
    <w:rsid w:val="51E12561"/>
    <w:rsid w:val="523F3C1F"/>
    <w:rsid w:val="52423363"/>
    <w:rsid w:val="52541547"/>
    <w:rsid w:val="5267634B"/>
    <w:rsid w:val="52915909"/>
    <w:rsid w:val="529D76EB"/>
    <w:rsid w:val="52AB5FCF"/>
    <w:rsid w:val="52B3758B"/>
    <w:rsid w:val="52BE213B"/>
    <w:rsid w:val="52BF2F14"/>
    <w:rsid w:val="52E651A4"/>
    <w:rsid w:val="5304495E"/>
    <w:rsid w:val="530A729F"/>
    <w:rsid w:val="5312018A"/>
    <w:rsid w:val="53124949"/>
    <w:rsid w:val="53275264"/>
    <w:rsid w:val="53487DC7"/>
    <w:rsid w:val="5371731E"/>
    <w:rsid w:val="53795E52"/>
    <w:rsid w:val="53B468CB"/>
    <w:rsid w:val="53BE26CE"/>
    <w:rsid w:val="53C3281A"/>
    <w:rsid w:val="53CD0849"/>
    <w:rsid w:val="53DE6CB9"/>
    <w:rsid w:val="53F47145"/>
    <w:rsid w:val="53F52DB0"/>
    <w:rsid w:val="53FB5475"/>
    <w:rsid w:val="54091C4C"/>
    <w:rsid w:val="540C32F9"/>
    <w:rsid w:val="54146336"/>
    <w:rsid w:val="5431590B"/>
    <w:rsid w:val="543B73B5"/>
    <w:rsid w:val="544654BE"/>
    <w:rsid w:val="544F7CED"/>
    <w:rsid w:val="547412A4"/>
    <w:rsid w:val="547E2E5A"/>
    <w:rsid w:val="54805733"/>
    <w:rsid w:val="548409CA"/>
    <w:rsid w:val="549332C4"/>
    <w:rsid w:val="549757FB"/>
    <w:rsid w:val="549826B2"/>
    <w:rsid w:val="54A9774A"/>
    <w:rsid w:val="54AD5D4A"/>
    <w:rsid w:val="54CA3223"/>
    <w:rsid w:val="54EE2F1E"/>
    <w:rsid w:val="54F326AE"/>
    <w:rsid w:val="552A754A"/>
    <w:rsid w:val="552C15E0"/>
    <w:rsid w:val="553C0CF0"/>
    <w:rsid w:val="55445DE5"/>
    <w:rsid w:val="55603AEE"/>
    <w:rsid w:val="556829A3"/>
    <w:rsid w:val="55974D5C"/>
    <w:rsid w:val="55983394"/>
    <w:rsid w:val="55A14BD2"/>
    <w:rsid w:val="55B95D39"/>
    <w:rsid w:val="55C85B05"/>
    <w:rsid w:val="55DC4F46"/>
    <w:rsid w:val="562E3EFA"/>
    <w:rsid w:val="56624938"/>
    <w:rsid w:val="56783DB8"/>
    <w:rsid w:val="568807DB"/>
    <w:rsid w:val="56A20A25"/>
    <w:rsid w:val="56A8574D"/>
    <w:rsid w:val="56A9623C"/>
    <w:rsid w:val="56D8305F"/>
    <w:rsid w:val="56DF38F9"/>
    <w:rsid w:val="57097D5A"/>
    <w:rsid w:val="572F58C1"/>
    <w:rsid w:val="574D2526"/>
    <w:rsid w:val="5750628C"/>
    <w:rsid w:val="57507892"/>
    <w:rsid w:val="575538CF"/>
    <w:rsid w:val="577B12CD"/>
    <w:rsid w:val="578B5C5D"/>
    <w:rsid w:val="57A36BCE"/>
    <w:rsid w:val="57AF73D4"/>
    <w:rsid w:val="57B64597"/>
    <w:rsid w:val="57C73388"/>
    <w:rsid w:val="581E0B9B"/>
    <w:rsid w:val="581E15D6"/>
    <w:rsid w:val="58234EA7"/>
    <w:rsid w:val="58235FB4"/>
    <w:rsid w:val="582F1C05"/>
    <w:rsid w:val="5845417B"/>
    <w:rsid w:val="584878D7"/>
    <w:rsid w:val="588908E6"/>
    <w:rsid w:val="58903CC7"/>
    <w:rsid w:val="58A15660"/>
    <w:rsid w:val="58A43CF2"/>
    <w:rsid w:val="58A53D51"/>
    <w:rsid w:val="58C31402"/>
    <w:rsid w:val="58C550A9"/>
    <w:rsid w:val="58C60A56"/>
    <w:rsid w:val="58D64140"/>
    <w:rsid w:val="58DA74AF"/>
    <w:rsid w:val="5902221B"/>
    <w:rsid w:val="5902326C"/>
    <w:rsid w:val="59091DA7"/>
    <w:rsid w:val="591125E3"/>
    <w:rsid w:val="59433ECD"/>
    <w:rsid w:val="597A4426"/>
    <w:rsid w:val="59A8608B"/>
    <w:rsid w:val="59B267A9"/>
    <w:rsid w:val="59B75ADF"/>
    <w:rsid w:val="59CF1606"/>
    <w:rsid w:val="59D37C22"/>
    <w:rsid w:val="59E64147"/>
    <w:rsid w:val="59FE3913"/>
    <w:rsid w:val="5A103B6D"/>
    <w:rsid w:val="5A177ED5"/>
    <w:rsid w:val="5A1958EE"/>
    <w:rsid w:val="5A377EC7"/>
    <w:rsid w:val="5A431FD7"/>
    <w:rsid w:val="5A494E46"/>
    <w:rsid w:val="5A6217B9"/>
    <w:rsid w:val="5A6813B1"/>
    <w:rsid w:val="5A7429C4"/>
    <w:rsid w:val="5AA224B3"/>
    <w:rsid w:val="5AA846AB"/>
    <w:rsid w:val="5AAA443B"/>
    <w:rsid w:val="5AC66A62"/>
    <w:rsid w:val="5AC756FD"/>
    <w:rsid w:val="5AC8016B"/>
    <w:rsid w:val="5ACC12DE"/>
    <w:rsid w:val="5AE32894"/>
    <w:rsid w:val="5B063DB1"/>
    <w:rsid w:val="5B0807B2"/>
    <w:rsid w:val="5B161569"/>
    <w:rsid w:val="5B2F0E84"/>
    <w:rsid w:val="5B5769D5"/>
    <w:rsid w:val="5B691F62"/>
    <w:rsid w:val="5B7046E5"/>
    <w:rsid w:val="5B750A3A"/>
    <w:rsid w:val="5B7A1E24"/>
    <w:rsid w:val="5B846998"/>
    <w:rsid w:val="5B920ECB"/>
    <w:rsid w:val="5B957801"/>
    <w:rsid w:val="5B962C2B"/>
    <w:rsid w:val="5BA83AC1"/>
    <w:rsid w:val="5BBA5E8F"/>
    <w:rsid w:val="5BCD6C27"/>
    <w:rsid w:val="5BE508A9"/>
    <w:rsid w:val="5C085457"/>
    <w:rsid w:val="5C0C3EA0"/>
    <w:rsid w:val="5C0E70C5"/>
    <w:rsid w:val="5C2F20AD"/>
    <w:rsid w:val="5C41381C"/>
    <w:rsid w:val="5C45299F"/>
    <w:rsid w:val="5C48773E"/>
    <w:rsid w:val="5C4904CF"/>
    <w:rsid w:val="5C6150F5"/>
    <w:rsid w:val="5C6358B9"/>
    <w:rsid w:val="5C7843B5"/>
    <w:rsid w:val="5C7C3DF7"/>
    <w:rsid w:val="5C82091C"/>
    <w:rsid w:val="5C824AD4"/>
    <w:rsid w:val="5C8563BE"/>
    <w:rsid w:val="5CAC2242"/>
    <w:rsid w:val="5CB437EF"/>
    <w:rsid w:val="5CB641C3"/>
    <w:rsid w:val="5CBC171A"/>
    <w:rsid w:val="5CE20E6C"/>
    <w:rsid w:val="5CE73923"/>
    <w:rsid w:val="5D037181"/>
    <w:rsid w:val="5D070412"/>
    <w:rsid w:val="5D273415"/>
    <w:rsid w:val="5D331AE8"/>
    <w:rsid w:val="5D407815"/>
    <w:rsid w:val="5D4B4D00"/>
    <w:rsid w:val="5D6B144B"/>
    <w:rsid w:val="5D6B1C73"/>
    <w:rsid w:val="5D6E48CE"/>
    <w:rsid w:val="5D8A691E"/>
    <w:rsid w:val="5D950646"/>
    <w:rsid w:val="5D983B41"/>
    <w:rsid w:val="5D9D1292"/>
    <w:rsid w:val="5DB43B79"/>
    <w:rsid w:val="5DF06EFB"/>
    <w:rsid w:val="5DF613B9"/>
    <w:rsid w:val="5E126EFD"/>
    <w:rsid w:val="5E1C6363"/>
    <w:rsid w:val="5E1E4546"/>
    <w:rsid w:val="5E1F660A"/>
    <w:rsid w:val="5E200D22"/>
    <w:rsid w:val="5E22681A"/>
    <w:rsid w:val="5E5A3033"/>
    <w:rsid w:val="5E5A5B0A"/>
    <w:rsid w:val="5E604B5F"/>
    <w:rsid w:val="5E855534"/>
    <w:rsid w:val="5E881701"/>
    <w:rsid w:val="5E9E7B9F"/>
    <w:rsid w:val="5E9F3B6E"/>
    <w:rsid w:val="5EA10E00"/>
    <w:rsid w:val="5EA2725B"/>
    <w:rsid w:val="5EA40B79"/>
    <w:rsid w:val="5EAA2211"/>
    <w:rsid w:val="5EB43E1C"/>
    <w:rsid w:val="5EBC4C31"/>
    <w:rsid w:val="5EEE0725"/>
    <w:rsid w:val="5EF4181F"/>
    <w:rsid w:val="5EF42884"/>
    <w:rsid w:val="5F0E6B53"/>
    <w:rsid w:val="5F12565E"/>
    <w:rsid w:val="5F175E31"/>
    <w:rsid w:val="5F186BFB"/>
    <w:rsid w:val="5F2F3BCD"/>
    <w:rsid w:val="5F4B6E67"/>
    <w:rsid w:val="5F760CB3"/>
    <w:rsid w:val="5F795E54"/>
    <w:rsid w:val="5FAD2FDF"/>
    <w:rsid w:val="5FB218F8"/>
    <w:rsid w:val="5FE649AC"/>
    <w:rsid w:val="5FE66795"/>
    <w:rsid w:val="5FFF5CB2"/>
    <w:rsid w:val="60142351"/>
    <w:rsid w:val="60174CA1"/>
    <w:rsid w:val="601E3DBA"/>
    <w:rsid w:val="60342FD3"/>
    <w:rsid w:val="603D1B29"/>
    <w:rsid w:val="603E4F2C"/>
    <w:rsid w:val="604128C5"/>
    <w:rsid w:val="60463E96"/>
    <w:rsid w:val="60896E5A"/>
    <w:rsid w:val="60A75817"/>
    <w:rsid w:val="60B418AD"/>
    <w:rsid w:val="60B860D3"/>
    <w:rsid w:val="60CA0060"/>
    <w:rsid w:val="60CD0F96"/>
    <w:rsid w:val="60DC3325"/>
    <w:rsid w:val="60E95FA0"/>
    <w:rsid w:val="60F31EE6"/>
    <w:rsid w:val="60F530C8"/>
    <w:rsid w:val="60F91A00"/>
    <w:rsid w:val="61106294"/>
    <w:rsid w:val="611B5160"/>
    <w:rsid w:val="612A3505"/>
    <w:rsid w:val="613B14D7"/>
    <w:rsid w:val="614B7972"/>
    <w:rsid w:val="614C248F"/>
    <w:rsid w:val="614E38E5"/>
    <w:rsid w:val="61695ABD"/>
    <w:rsid w:val="617A136C"/>
    <w:rsid w:val="617C79E3"/>
    <w:rsid w:val="61814ECC"/>
    <w:rsid w:val="618B7FC9"/>
    <w:rsid w:val="61997A51"/>
    <w:rsid w:val="61AE319E"/>
    <w:rsid w:val="61BD5989"/>
    <w:rsid w:val="61E22832"/>
    <w:rsid w:val="62041AEB"/>
    <w:rsid w:val="622D67B7"/>
    <w:rsid w:val="6235104E"/>
    <w:rsid w:val="62406B5D"/>
    <w:rsid w:val="62497ADA"/>
    <w:rsid w:val="624B2188"/>
    <w:rsid w:val="625A43FD"/>
    <w:rsid w:val="625E13B5"/>
    <w:rsid w:val="62726A2B"/>
    <w:rsid w:val="62750987"/>
    <w:rsid w:val="62865027"/>
    <w:rsid w:val="6287079C"/>
    <w:rsid w:val="62D078F1"/>
    <w:rsid w:val="62DB148B"/>
    <w:rsid w:val="62E77079"/>
    <w:rsid w:val="62F03D96"/>
    <w:rsid w:val="62FB1290"/>
    <w:rsid w:val="633C2A3D"/>
    <w:rsid w:val="634D1312"/>
    <w:rsid w:val="634D26FC"/>
    <w:rsid w:val="635453F4"/>
    <w:rsid w:val="635F0445"/>
    <w:rsid w:val="63656AFC"/>
    <w:rsid w:val="6374519E"/>
    <w:rsid w:val="638E22B6"/>
    <w:rsid w:val="639A0DD7"/>
    <w:rsid w:val="63B91136"/>
    <w:rsid w:val="63BF7232"/>
    <w:rsid w:val="63C34DB1"/>
    <w:rsid w:val="63C369CB"/>
    <w:rsid w:val="63C41807"/>
    <w:rsid w:val="63CF6DB8"/>
    <w:rsid w:val="63CF79D5"/>
    <w:rsid w:val="63D510A3"/>
    <w:rsid w:val="63DF1D0F"/>
    <w:rsid w:val="63F52550"/>
    <w:rsid w:val="63F8690F"/>
    <w:rsid w:val="640E3010"/>
    <w:rsid w:val="641A6CFE"/>
    <w:rsid w:val="6427436F"/>
    <w:rsid w:val="6427729D"/>
    <w:rsid w:val="642C0A3C"/>
    <w:rsid w:val="643A622E"/>
    <w:rsid w:val="644846EE"/>
    <w:rsid w:val="644B5087"/>
    <w:rsid w:val="645B1F74"/>
    <w:rsid w:val="647A31D8"/>
    <w:rsid w:val="6492192C"/>
    <w:rsid w:val="64CD5660"/>
    <w:rsid w:val="65032928"/>
    <w:rsid w:val="6523369D"/>
    <w:rsid w:val="65263926"/>
    <w:rsid w:val="652E7E8D"/>
    <w:rsid w:val="6543765B"/>
    <w:rsid w:val="65607D60"/>
    <w:rsid w:val="65730D75"/>
    <w:rsid w:val="6573321F"/>
    <w:rsid w:val="657940E6"/>
    <w:rsid w:val="657E23E5"/>
    <w:rsid w:val="657F53E7"/>
    <w:rsid w:val="65832956"/>
    <w:rsid w:val="659F601B"/>
    <w:rsid w:val="65D428AD"/>
    <w:rsid w:val="65E25A73"/>
    <w:rsid w:val="661C136B"/>
    <w:rsid w:val="66332E3F"/>
    <w:rsid w:val="66630F42"/>
    <w:rsid w:val="666F78F4"/>
    <w:rsid w:val="668026A6"/>
    <w:rsid w:val="669730E8"/>
    <w:rsid w:val="66983397"/>
    <w:rsid w:val="66BE0FF8"/>
    <w:rsid w:val="66C4522F"/>
    <w:rsid w:val="66E63081"/>
    <w:rsid w:val="66ED2867"/>
    <w:rsid w:val="67040B0F"/>
    <w:rsid w:val="670F3643"/>
    <w:rsid w:val="6716559D"/>
    <w:rsid w:val="6737586C"/>
    <w:rsid w:val="67486190"/>
    <w:rsid w:val="676C4177"/>
    <w:rsid w:val="678E73EF"/>
    <w:rsid w:val="67A72694"/>
    <w:rsid w:val="67A93047"/>
    <w:rsid w:val="67CE3B1F"/>
    <w:rsid w:val="67F42A88"/>
    <w:rsid w:val="67FD341E"/>
    <w:rsid w:val="680728F2"/>
    <w:rsid w:val="680809BB"/>
    <w:rsid w:val="681D7BFC"/>
    <w:rsid w:val="68274D1E"/>
    <w:rsid w:val="682C260C"/>
    <w:rsid w:val="68460921"/>
    <w:rsid w:val="68543923"/>
    <w:rsid w:val="68585E5F"/>
    <w:rsid w:val="685A0809"/>
    <w:rsid w:val="685E6BB8"/>
    <w:rsid w:val="687D34E1"/>
    <w:rsid w:val="68A32EB6"/>
    <w:rsid w:val="68AF64C7"/>
    <w:rsid w:val="68E06F4F"/>
    <w:rsid w:val="68F77113"/>
    <w:rsid w:val="69365584"/>
    <w:rsid w:val="693D6EDC"/>
    <w:rsid w:val="694B4D68"/>
    <w:rsid w:val="694B5A15"/>
    <w:rsid w:val="695A5E80"/>
    <w:rsid w:val="696412D5"/>
    <w:rsid w:val="696706AB"/>
    <w:rsid w:val="696822A2"/>
    <w:rsid w:val="6978160A"/>
    <w:rsid w:val="69835C37"/>
    <w:rsid w:val="699F4003"/>
    <w:rsid w:val="69AB07DA"/>
    <w:rsid w:val="69B1279D"/>
    <w:rsid w:val="69CC4E56"/>
    <w:rsid w:val="69D65CD5"/>
    <w:rsid w:val="69E666A2"/>
    <w:rsid w:val="69ED0913"/>
    <w:rsid w:val="69F27A07"/>
    <w:rsid w:val="69FC00EB"/>
    <w:rsid w:val="69FC4DB3"/>
    <w:rsid w:val="6A1404ED"/>
    <w:rsid w:val="6A243230"/>
    <w:rsid w:val="6A4E4A0A"/>
    <w:rsid w:val="6A596540"/>
    <w:rsid w:val="6A5E4D77"/>
    <w:rsid w:val="6A5F3D46"/>
    <w:rsid w:val="6A79042C"/>
    <w:rsid w:val="6A7A7409"/>
    <w:rsid w:val="6A7F45BF"/>
    <w:rsid w:val="6A8D74B4"/>
    <w:rsid w:val="6AA64EEA"/>
    <w:rsid w:val="6AB075E2"/>
    <w:rsid w:val="6AC11D13"/>
    <w:rsid w:val="6AE23E1D"/>
    <w:rsid w:val="6AE3655C"/>
    <w:rsid w:val="6AE91C91"/>
    <w:rsid w:val="6B200D9C"/>
    <w:rsid w:val="6B231380"/>
    <w:rsid w:val="6B3853F8"/>
    <w:rsid w:val="6B8A5B81"/>
    <w:rsid w:val="6BAB006F"/>
    <w:rsid w:val="6BAE30D4"/>
    <w:rsid w:val="6BB6702F"/>
    <w:rsid w:val="6BDE52D5"/>
    <w:rsid w:val="6BE04688"/>
    <w:rsid w:val="6BEE17FE"/>
    <w:rsid w:val="6C447699"/>
    <w:rsid w:val="6C620BE9"/>
    <w:rsid w:val="6C8D7D4B"/>
    <w:rsid w:val="6C96684A"/>
    <w:rsid w:val="6CA95375"/>
    <w:rsid w:val="6CB864BA"/>
    <w:rsid w:val="6CC12AAE"/>
    <w:rsid w:val="6CC75E2C"/>
    <w:rsid w:val="6CD4463B"/>
    <w:rsid w:val="6CE27144"/>
    <w:rsid w:val="6CEA1FDA"/>
    <w:rsid w:val="6D015EC9"/>
    <w:rsid w:val="6D162FB8"/>
    <w:rsid w:val="6D1F406D"/>
    <w:rsid w:val="6D4113C9"/>
    <w:rsid w:val="6D5108C7"/>
    <w:rsid w:val="6D5A5438"/>
    <w:rsid w:val="6D5E2269"/>
    <w:rsid w:val="6D6831CE"/>
    <w:rsid w:val="6D7A175E"/>
    <w:rsid w:val="6D805916"/>
    <w:rsid w:val="6DAD7CCE"/>
    <w:rsid w:val="6DB12849"/>
    <w:rsid w:val="6DDE33AA"/>
    <w:rsid w:val="6DDF348F"/>
    <w:rsid w:val="6E06012C"/>
    <w:rsid w:val="6E18696F"/>
    <w:rsid w:val="6E4D0DB9"/>
    <w:rsid w:val="6E4F6056"/>
    <w:rsid w:val="6E5C6DE5"/>
    <w:rsid w:val="6E5F273D"/>
    <w:rsid w:val="6E6A3C58"/>
    <w:rsid w:val="6E6A3E1C"/>
    <w:rsid w:val="6E704878"/>
    <w:rsid w:val="6EAC5321"/>
    <w:rsid w:val="6EBA42D0"/>
    <w:rsid w:val="6EDB0E97"/>
    <w:rsid w:val="6EE575E7"/>
    <w:rsid w:val="6EFC7F8C"/>
    <w:rsid w:val="6F084FB9"/>
    <w:rsid w:val="6F160742"/>
    <w:rsid w:val="6F2E6B8F"/>
    <w:rsid w:val="6F2F1D57"/>
    <w:rsid w:val="6F396EE3"/>
    <w:rsid w:val="6F565AAA"/>
    <w:rsid w:val="6F615A1C"/>
    <w:rsid w:val="6F7735EB"/>
    <w:rsid w:val="6FC11FC5"/>
    <w:rsid w:val="6FD00963"/>
    <w:rsid w:val="6FDB44DD"/>
    <w:rsid w:val="6FEC4345"/>
    <w:rsid w:val="6FF5628D"/>
    <w:rsid w:val="6FF70A4B"/>
    <w:rsid w:val="7025351B"/>
    <w:rsid w:val="70427257"/>
    <w:rsid w:val="70524056"/>
    <w:rsid w:val="705B5044"/>
    <w:rsid w:val="705E5D1C"/>
    <w:rsid w:val="70680B8E"/>
    <w:rsid w:val="706D5397"/>
    <w:rsid w:val="709554A8"/>
    <w:rsid w:val="70B8118D"/>
    <w:rsid w:val="70C05CC3"/>
    <w:rsid w:val="70FA04FB"/>
    <w:rsid w:val="71053A52"/>
    <w:rsid w:val="710B2820"/>
    <w:rsid w:val="71123866"/>
    <w:rsid w:val="712D02FC"/>
    <w:rsid w:val="7138442D"/>
    <w:rsid w:val="714803E0"/>
    <w:rsid w:val="715440AF"/>
    <w:rsid w:val="715C5690"/>
    <w:rsid w:val="71622A1A"/>
    <w:rsid w:val="7168430B"/>
    <w:rsid w:val="717050C4"/>
    <w:rsid w:val="71A2458E"/>
    <w:rsid w:val="71A564EA"/>
    <w:rsid w:val="71AE5DC1"/>
    <w:rsid w:val="71B85C82"/>
    <w:rsid w:val="71C012E9"/>
    <w:rsid w:val="71C60197"/>
    <w:rsid w:val="71C65147"/>
    <w:rsid w:val="71D57F49"/>
    <w:rsid w:val="71E6777B"/>
    <w:rsid w:val="71F6638D"/>
    <w:rsid w:val="7202652D"/>
    <w:rsid w:val="72037883"/>
    <w:rsid w:val="72043B6F"/>
    <w:rsid w:val="720C5B27"/>
    <w:rsid w:val="72202255"/>
    <w:rsid w:val="724A3704"/>
    <w:rsid w:val="72511D46"/>
    <w:rsid w:val="725B76BF"/>
    <w:rsid w:val="72665E89"/>
    <w:rsid w:val="726C7D0E"/>
    <w:rsid w:val="72715E31"/>
    <w:rsid w:val="72BF39FF"/>
    <w:rsid w:val="72D461E9"/>
    <w:rsid w:val="72F55FAD"/>
    <w:rsid w:val="72FD177B"/>
    <w:rsid w:val="730965F0"/>
    <w:rsid w:val="731B48C0"/>
    <w:rsid w:val="73391365"/>
    <w:rsid w:val="73657E5F"/>
    <w:rsid w:val="73853284"/>
    <w:rsid w:val="73A9528B"/>
    <w:rsid w:val="73C52351"/>
    <w:rsid w:val="74035E26"/>
    <w:rsid w:val="740D2C3B"/>
    <w:rsid w:val="74177ABD"/>
    <w:rsid w:val="741B7106"/>
    <w:rsid w:val="742B66D7"/>
    <w:rsid w:val="74305513"/>
    <w:rsid w:val="744C2317"/>
    <w:rsid w:val="7455056D"/>
    <w:rsid w:val="7480429C"/>
    <w:rsid w:val="748F1CF5"/>
    <w:rsid w:val="7493244C"/>
    <w:rsid w:val="74936318"/>
    <w:rsid w:val="74A434C2"/>
    <w:rsid w:val="74B91850"/>
    <w:rsid w:val="74E139F5"/>
    <w:rsid w:val="74F905F2"/>
    <w:rsid w:val="750E4AD6"/>
    <w:rsid w:val="75192BFF"/>
    <w:rsid w:val="75306DB7"/>
    <w:rsid w:val="7535244A"/>
    <w:rsid w:val="753A1FC2"/>
    <w:rsid w:val="756234CD"/>
    <w:rsid w:val="756344DA"/>
    <w:rsid w:val="756641E9"/>
    <w:rsid w:val="756960C3"/>
    <w:rsid w:val="75711FBB"/>
    <w:rsid w:val="75B0696D"/>
    <w:rsid w:val="75D900AC"/>
    <w:rsid w:val="75DE6BB0"/>
    <w:rsid w:val="761966FE"/>
    <w:rsid w:val="762A506B"/>
    <w:rsid w:val="762B7DEE"/>
    <w:rsid w:val="764A7A65"/>
    <w:rsid w:val="76675435"/>
    <w:rsid w:val="766819A7"/>
    <w:rsid w:val="767772AD"/>
    <w:rsid w:val="767A6138"/>
    <w:rsid w:val="769A36E5"/>
    <w:rsid w:val="76AA4771"/>
    <w:rsid w:val="76C83826"/>
    <w:rsid w:val="76FD2AF3"/>
    <w:rsid w:val="77046C94"/>
    <w:rsid w:val="770C0F88"/>
    <w:rsid w:val="77203EB5"/>
    <w:rsid w:val="772B664F"/>
    <w:rsid w:val="773E1A31"/>
    <w:rsid w:val="77417121"/>
    <w:rsid w:val="77480811"/>
    <w:rsid w:val="77562203"/>
    <w:rsid w:val="776260C6"/>
    <w:rsid w:val="776B380A"/>
    <w:rsid w:val="77936B88"/>
    <w:rsid w:val="779D4D0D"/>
    <w:rsid w:val="77B33B38"/>
    <w:rsid w:val="77B5517C"/>
    <w:rsid w:val="77BD06F9"/>
    <w:rsid w:val="77CB6605"/>
    <w:rsid w:val="77F37243"/>
    <w:rsid w:val="780E52FA"/>
    <w:rsid w:val="78143A26"/>
    <w:rsid w:val="78201CA3"/>
    <w:rsid w:val="78203A5C"/>
    <w:rsid w:val="782A5E45"/>
    <w:rsid w:val="785B080A"/>
    <w:rsid w:val="785B5D23"/>
    <w:rsid w:val="785E5A7C"/>
    <w:rsid w:val="7899684C"/>
    <w:rsid w:val="78B057D9"/>
    <w:rsid w:val="78B46C77"/>
    <w:rsid w:val="78BA1A4B"/>
    <w:rsid w:val="78BD00F9"/>
    <w:rsid w:val="78CC09CF"/>
    <w:rsid w:val="78F13561"/>
    <w:rsid w:val="78F24DF2"/>
    <w:rsid w:val="791E5216"/>
    <w:rsid w:val="795A5842"/>
    <w:rsid w:val="79682D81"/>
    <w:rsid w:val="7969153E"/>
    <w:rsid w:val="79766B8D"/>
    <w:rsid w:val="79D453BA"/>
    <w:rsid w:val="79EC7519"/>
    <w:rsid w:val="79F20909"/>
    <w:rsid w:val="79FC78C1"/>
    <w:rsid w:val="7A097405"/>
    <w:rsid w:val="7A142AAF"/>
    <w:rsid w:val="7A214F28"/>
    <w:rsid w:val="7A470DA0"/>
    <w:rsid w:val="7A543372"/>
    <w:rsid w:val="7A9A0AB2"/>
    <w:rsid w:val="7AA240DD"/>
    <w:rsid w:val="7AA77A47"/>
    <w:rsid w:val="7AF11240"/>
    <w:rsid w:val="7AFC51D8"/>
    <w:rsid w:val="7B0510AC"/>
    <w:rsid w:val="7B15210C"/>
    <w:rsid w:val="7B656EB9"/>
    <w:rsid w:val="7B6A44CF"/>
    <w:rsid w:val="7B6C0247"/>
    <w:rsid w:val="7B6E2340"/>
    <w:rsid w:val="7B6E5D6D"/>
    <w:rsid w:val="7B7B3EA0"/>
    <w:rsid w:val="7B8406FE"/>
    <w:rsid w:val="7BB27AF7"/>
    <w:rsid w:val="7BCC2384"/>
    <w:rsid w:val="7BD007D6"/>
    <w:rsid w:val="7BD858DD"/>
    <w:rsid w:val="7BDF5DB9"/>
    <w:rsid w:val="7BF62384"/>
    <w:rsid w:val="7C013085"/>
    <w:rsid w:val="7C1329F2"/>
    <w:rsid w:val="7C1955EA"/>
    <w:rsid w:val="7C2528D2"/>
    <w:rsid w:val="7C3A20F4"/>
    <w:rsid w:val="7C51085F"/>
    <w:rsid w:val="7C610B75"/>
    <w:rsid w:val="7C9039F3"/>
    <w:rsid w:val="7CAF5E82"/>
    <w:rsid w:val="7CCD3F8B"/>
    <w:rsid w:val="7CD5556F"/>
    <w:rsid w:val="7CDC515B"/>
    <w:rsid w:val="7D0F7606"/>
    <w:rsid w:val="7D2841C8"/>
    <w:rsid w:val="7D2D3F6E"/>
    <w:rsid w:val="7D325DF4"/>
    <w:rsid w:val="7D343717"/>
    <w:rsid w:val="7D663E7F"/>
    <w:rsid w:val="7D6661AC"/>
    <w:rsid w:val="7D682811"/>
    <w:rsid w:val="7D8506D2"/>
    <w:rsid w:val="7D871D2A"/>
    <w:rsid w:val="7D9D27FF"/>
    <w:rsid w:val="7DA44190"/>
    <w:rsid w:val="7DC0344A"/>
    <w:rsid w:val="7DD2182E"/>
    <w:rsid w:val="7DD5096F"/>
    <w:rsid w:val="7DE3210D"/>
    <w:rsid w:val="7DFA32F3"/>
    <w:rsid w:val="7DFA5FDE"/>
    <w:rsid w:val="7DFF47DA"/>
    <w:rsid w:val="7E0A5A15"/>
    <w:rsid w:val="7E2249CE"/>
    <w:rsid w:val="7E423C8E"/>
    <w:rsid w:val="7E4B4D85"/>
    <w:rsid w:val="7E7720AE"/>
    <w:rsid w:val="7E7E75A1"/>
    <w:rsid w:val="7E80084F"/>
    <w:rsid w:val="7E914E81"/>
    <w:rsid w:val="7EA33139"/>
    <w:rsid w:val="7EB4618D"/>
    <w:rsid w:val="7EC71A8E"/>
    <w:rsid w:val="7ED51DCA"/>
    <w:rsid w:val="7ED70247"/>
    <w:rsid w:val="7EFE0E75"/>
    <w:rsid w:val="7F1B1D17"/>
    <w:rsid w:val="7F4514DB"/>
    <w:rsid w:val="7F553B8B"/>
    <w:rsid w:val="7F623E3B"/>
    <w:rsid w:val="7F687863"/>
    <w:rsid w:val="7F9B692B"/>
    <w:rsid w:val="7FA94C19"/>
    <w:rsid w:val="7FAF592B"/>
    <w:rsid w:val="7FB37BE6"/>
    <w:rsid w:val="7FC8522D"/>
    <w:rsid w:val="7FCB7C32"/>
    <w:rsid w:val="7FCE504D"/>
    <w:rsid w:val="7FCF48EB"/>
    <w:rsid w:val="7FCF7A26"/>
    <w:rsid w:val="7FD21443"/>
    <w:rsid w:val="7FDB0AC3"/>
    <w:rsid w:val="7FE466B9"/>
    <w:rsid w:val="7FF704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60" w:lineRule="exact"/>
      <w:ind w:firstLine="0" w:firstLineChars="0"/>
      <w:jc w:val="center"/>
      <w:outlineLvl w:val="0"/>
    </w:pPr>
    <w:rPr>
      <w:rFonts w:ascii="Times New Roman" w:hAnsi="Times New Roman" w:eastAsia="方正小标宋_GBK"/>
      <w:b/>
      <w:kern w:val="44"/>
      <w:sz w:val="44"/>
    </w:rPr>
  </w:style>
  <w:style w:type="paragraph" w:styleId="4">
    <w:name w:val="heading 2"/>
    <w:basedOn w:val="1"/>
    <w:next w:val="1"/>
    <w:unhideWhenUsed/>
    <w:qFormat/>
    <w:uiPriority w:val="0"/>
    <w:pPr>
      <w:keepNext/>
      <w:keepLines/>
      <w:numPr>
        <w:ilvl w:val="1"/>
        <w:numId w:val="1"/>
      </w:numPr>
      <w:spacing w:before="260" w:after="260" w:line="560" w:lineRule="exact"/>
      <w:ind w:firstLine="0" w:firstLineChars="0"/>
      <w:jc w:val="center"/>
      <w:outlineLvl w:val="1"/>
    </w:pPr>
    <w:rPr>
      <w:rFonts w:ascii="Times New Roman" w:hAnsi="Times New Roman" w:eastAsia="黑体"/>
      <w:b/>
      <w:bCs/>
      <w:szCs w:val="28"/>
    </w:rPr>
  </w:style>
  <w:style w:type="paragraph" w:styleId="5">
    <w:name w:val="heading 3"/>
    <w:basedOn w:val="1"/>
    <w:next w:val="1"/>
    <w:link w:val="26"/>
    <w:unhideWhenUsed/>
    <w:qFormat/>
    <w:uiPriority w:val="0"/>
    <w:pPr>
      <w:keepNext/>
      <w:keepLines/>
      <w:spacing w:before="140" w:beforeLines="0" w:beforeAutospacing="0" w:after="140" w:afterLines="0" w:afterAutospacing="0" w:line="560" w:lineRule="exact"/>
      <w:outlineLvl w:val="2"/>
    </w:pPr>
    <w:rPr>
      <w:rFonts w:ascii="Times New Roman" w:hAnsi="Times New Roman" w:eastAsia="楷体"/>
      <w:b/>
    </w:rPr>
  </w:style>
  <w:style w:type="paragraph" w:styleId="6">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2">
    <w:name w:val="Body Text Indent 2"/>
    <w:basedOn w:val="1"/>
    <w:qFormat/>
    <w:uiPriority w:val="0"/>
    <w:pPr>
      <w:spacing w:after="120" w:afterLines="0" w:line="480" w:lineRule="auto"/>
      <w:ind w:left="420" w:leftChars="200"/>
    </w:pPr>
  </w:style>
  <w:style w:type="paragraph" w:styleId="7">
    <w:name w:val="Body Text"/>
    <w:basedOn w:val="1"/>
    <w:qFormat/>
    <w:uiPriority w:val="1"/>
    <w:rPr>
      <w:rFonts w:ascii="宋体" w:hAnsi="宋体" w:eastAsia="宋体" w:cs="宋体"/>
      <w:sz w:val="32"/>
      <w:szCs w:val="32"/>
      <w:lang w:val="zh-CN" w:eastAsia="zh-CN" w:bidi="zh-CN"/>
    </w:rPr>
  </w:style>
  <w:style w:type="paragraph" w:styleId="8">
    <w:name w:val="endnote text"/>
    <w:basedOn w:val="1"/>
    <w:qFormat/>
    <w:uiPriority w:val="0"/>
    <w:pPr>
      <w:snapToGrid w:val="0"/>
      <w:jc w:val="left"/>
    </w:pPr>
  </w:style>
  <w:style w:type="paragraph" w:styleId="9">
    <w:name w:val="footer"/>
    <w:basedOn w:val="1"/>
    <w:qFormat/>
    <w:uiPriority w:val="0"/>
    <w:pPr>
      <w:tabs>
        <w:tab w:val="center" w:pos="4153"/>
        <w:tab w:val="right" w:pos="8306"/>
      </w:tabs>
      <w:snapToGrid w:val="0"/>
      <w:jc w:val="left"/>
    </w:pPr>
    <w:rPr>
      <w:rFonts w:ascii="Times New Roman" w:eastAsia="宋体"/>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ascii="Times New Roman" w:eastAsia="宋体"/>
      <w:sz w:val="18"/>
      <w:szCs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basedOn w:val="16"/>
    <w:qFormat/>
    <w:uiPriority w:val="0"/>
    <w:rPr>
      <w:b/>
    </w:rPr>
  </w:style>
  <w:style w:type="character" w:styleId="18">
    <w:name w:val="endnote reference"/>
    <w:basedOn w:val="16"/>
    <w:qFormat/>
    <w:uiPriority w:val="0"/>
    <w:rPr>
      <w:vertAlign w:val="superscript"/>
    </w:rPr>
  </w:style>
  <w:style w:type="character" w:styleId="19">
    <w:name w:val="FollowedHyperlink"/>
    <w:basedOn w:val="16"/>
    <w:qFormat/>
    <w:uiPriority w:val="0"/>
    <w:rPr>
      <w:color w:val="222222"/>
      <w:u w:val="none"/>
    </w:rPr>
  </w:style>
  <w:style w:type="character" w:styleId="20">
    <w:name w:val="Emphasis"/>
    <w:basedOn w:val="16"/>
    <w:qFormat/>
    <w:uiPriority w:val="0"/>
    <w:rPr>
      <w:i/>
    </w:rPr>
  </w:style>
  <w:style w:type="character" w:styleId="21">
    <w:name w:val="HTML Definition"/>
    <w:basedOn w:val="16"/>
    <w:qFormat/>
    <w:uiPriority w:val="0"/>
  </w:style>
  <w:style w:type="character" w:styleId="22">
    <w:name w:val="HTML Variable"/>
    <w:basedOn w:val="16"/>
    <w:qFormat/>
    <w:uiPriority w:val="0"/>
  </w:style>
  <w:style w:type="character" w:styleId="23">
    <w:name w:val="Hyperlink"/>
    <w:basedOn w:val="16"/>
    <w:qFormat/>
    <w:uiPriority w:val="0"/>
    <w:rPr>
      <w:color w:val="222222"/>
      <w:u w:val="none"/>
    </w:rPr>
  </w:style>
  <w:style w:type="character" w:styleId="24">
    <w:name w:val="HTML Code"/>
    <w:basedOn w:val="16"/>
    <w:qFormat/>
    <w:uiPriority w:val="0"/>
    <w:rPr>
      <w:rFonts w:ascii="Courier New" w:hAnsi="Courier New"/>
      <w:sz w:val="20"/>
    </w:rPr>
  </w:style>
  <w:style w:type="character" w:styleId="25">
    <w:name w:val="HTML Cite"/>
    <w:basedOn w:val="16"/>
    <w:qFormat/>
    <w:uiPriority w:val="0"/>
  </w:style>
  <w:style w:type="character" w:customStyle="1" w:styleId="26">
    <w:name w:val="标题 3 Char"/>
    <w:link w:val="5"/>
    <w:qFormat/>
    <w:uiPriority w:val="0"/>
    <w:rPr>
      <w:rFonts w:ascii="Times New Roman" w:hAnsi="Times New Roman" w:eastAsia="楷体"/>
      <w:b/>
    </w:rPr>
  </w:style>
  <w:style w:type="paragraph" w:customStyle="1" w:styleId="27">
    <w:name w:val="WPSOffice手动目录 1"/>
    <w:qFormat/>
    <w:uiPriority w:val="0"/>
    <w:pPr>
      <w:ind w:leftChars="0"/>
    </w:pPr>
    <w:rPr>
      <w:rFonts w:ascii="Times New Roman" w:hAnsi="Times New Roman" w:eastAsia="宋体" w:cs="Times New Roman"/>
      <w:sz w:val="20"/>
      <w:szCs w:val="20"/>
    </w:rPr>
  </w:style>
  <w:style w:type="paragraph" w:customStyle="1" w:styleId="28">
    <w:name w:val="WPSOffice手动目录 2"/>
    <w:qFormat/>
    <w:uiPriority w:val="0"/>
    <w:pPr>
      <w:ind w:leftChars="200"/>
    </w:pPr>
    <w:rPr>
      <w:rFonts w:ascii="Times New Roman" w:hAnsi="Times New Roman" w:eastAsia="宋体" w:cs="Times New Roman"/>
      <w:sz w:val="20"/>
      <w:szCs w:val="20"/>
    </w:rPr>
  </w:style>
  <w:style w:type="character" w:customStyle="1" w:styleId="29">
    <w:name w:val="hover12"/>
    <w:basedOn w:val="16"/>
    <w:qFormat/>
    <w:uiPriority w:val="0"/>
  </w:style>
  <w:style w:type="paragraph" w:customStyle="1" w:styleId="30">
    <w:name w:val="图表内容"/>
    <w:qFormat/>
    <w:uiPriority w:val="0"/>
    <w:pPr>
      <w:adjustRightInd w:val="0"/>
      <w:snapToGrid w:val="0"/>
      <w:jc w:val="center"/>
    </w:pPr>
    <w:rPr>
      <w:rFonts w:ascii="仿宋" w:hAnsi="仿宋" w:eastAsia="仿宋" w:cs="仿宋"/>
      <w:kern w:val="2"/>
      <w:sz w:val="24"/>
      <w:szCs w:val="20"/>
      <w:lang w:val="zh-CN" w:eastAsia="zh-CN" w:bidi="zh-CN"/>
    </w:rPr>
  </w:style>
  <w:style w:type="paragraph" w:customStyle="1" w:styleId="31">
    <w:name w:val="Table Paragraph"/>
    <w:basedOn w:val="1"/>
    <w:unhideWhenUsed/>
    <w:qFormat/>
    <w:uiPriority w:val="1"/>
    <w:pPr>
      <w:spacing w:beforeLines="0" w:afterLines="0"/>
    </w:pPr>
    <w:rPr>
      <w:rFonts w:hint="eastAsia"/>
      <w:sz w:val="22"/>
    </w:rPr>
  </w:style>
  <w:style w:type="character" w:customStyle="1" w:styleId="32">
    <w:name w:val="font81"/>
    <w:basedOn w:val="16"/>
    <w:qFormat/>
    <w:uiPriority w:val="0"/>
    <w:rPr>
      <w:rFonts w:ascii="仿宋" w:hAnsi="仿宋" w:eastAsia="仿宋" w:cs="仿宋"/>
      <w:b/>
      <w:bCs/>
      <w:color w:val="000000"/>
      <w:sz w:val="28"/>
      <w:szCs w:val="28"/>
      <w:u w:val="none"/>
    </w:rPr>
  </w:style>
  <w:style w:type="character" w:customStyle="1" w:styleId="33">
    <w:name w:val="font31"/>
    <w:basedOn w:val="16"/>
    <w:qFormat/>
    <w:uiPriority w:val="0"/>
    <w:rPr>
      <w:rFonts w:hint="eastAsia" w:ascii="宋体" w:hAnsi="宋体" w:eastAsia="宋体" w:cs="宋体"/>
      <w:b/>
      <w:bCs/>
      <w:color w:val="000000"/>
      <w:sz w:val="28"/>
      <w:szCs w:val="28"/>
      <w:u w:val="none"/>
    </w:rPr>
  </w:style>
  <w:style w:type="character" w:customStyle="1" w:styleId="34">
    <w:name w:val="font11"/>
    <w:basedOn w:val="16"/>
    <w:qFormat/>
    <w:uiPriority w:val="0"/>
    <w:rPr>
      <w:rFonts w:hint="eastAsia" w:ascii="仿宋" w:hAnsi="仿宋" w:eastAsia="仿宋" w:cs="仿宋"/>
      <w:color w:val="000000"/>
      <w:sz w:val="24"/>
      <w:szCs w:val="24"/>
      <w:u w:val="none"/>
    </w:rPr>
  </w:style>
  <w:style w:type="character" w:customStyle="1" w:styleId="35">
    <w:name w:val="font71"/>
    <w:basedOn w:val="16"/>
    <w:qFormat/>
    <w:uiPriority w:val="0"/>
    <w:rPr>
      <w:rFonts w:hint="eastAsia" w:ascii="仿宋" w:hAnsi="仿宋" w:eastAsia="仿宋" w:cs="仿宋"/>
      <w:color w:val="000000"/>
      <w:sz w:val="24"/>
      <w:szCs w:val="24"/>
      <w:u w:val="none"/>
    </w:rPr>
  </w:style>
  <w:style w:type="character" w:customStyle="1" w:styleId="36">
    <w:name w:val="font01"/>
    <w:basedOn w:val="16"/>
    <w:qFormat/>
    <w:uiPriority w:val="0"/>
    <w:rPr>
      <w:rFonts w:hint="default" w:ascii="Times New Roman" w:hAnsi="Times New Roman" w:cs="Times New Roman"/>
      <w:color w:val="000000"/>
      <w:sz w:val="24"/>
      <w:szCs w:val="24"/>
      <w:u w:val="none"/>
    </w:rPr>
  </w:style>
  <w:style w:type="table" w:customStyle="1" w:styleId="37">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8" Type="http://schemas.microsoft.com/office/2011/relationships/chartColorStyle" Target="colors1.xml"/><Relationship Id="rId7" Type="http://schemas.microsoft.com/office/2011/relationships/chartStyle" Target="style1.xml"/><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 Id="rId3" Type="http://schemas.openxmlformats.org/officeDocument/2006/relationships/image" Target="../media/image5.png"/><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2015</a:t>
            </a:r>
            <a:r>
              <a:rPr altLang="en-US"/>
              <a:t>年</a:t>
            </a:r>
            <a:r>
              <a:rPr lang="en-US" altLang="zh-CN"/>
              <a:t>-2020</a:t>
            </a:r>
            <a:r>
              <a:rPr altLang="en-US"/>
              <a:t>年师市机动车保有量（辆）</a:t>
            </a:r>
            <a:endParaRPr lang="en-US" alt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2015年</c:v>
                </c:pt>
              </c:strCache>
            </c:strRef>
          </c:tx>
          <c:spPr>
            <a:blipFill rotWithShape="1">
              <a:blip xmlns:r="http://schemas.openxmlformats.org/officeDocument/2006/relationships" r:embed="rId3"/>
              <a:stretch>
                <a:fillRect/>
              </a:stretch>
            </a:blipFill>
            <a:ln>
              <a:noFill/>
            </a:ln>
            <a:effectLst>
              <a:outerShdw blurRad="76200" dir="13500000" sy="23000" kx="1200000" algn="br"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机动车保有量（辆） </c:v>
                </c:pt>
              </c:strCache>
            </c:strRef>
          </c:cat>
          <c:val>
            <c:numRef>
              <c:f>Sheet1!$B$2</c:f>
              <c:numCache>
                <c:formatCode>General</c:formatCode>
                <c:ptCount val="1"/>
                <c:pt idx="0">
                  <c:v>9576</c:v>
                </c:pt>
              </c:numCache>
            </c:numRef>
          </c:val>
        </c:ser>
        <c:ser>
          <c:idx val="1"/>
          <c:order val="1"/>
          <c:tx>
            <c:strRef>
              <c:f>Sheet1!$C$1</c:f>
              <c:strCache>
                <c:ptCount val="1"/>
                <c:pt idx="0">
                  <c:v>2016年</c:v>
                </c:pt>
              </c:strCache>
            </c:strRef>
          </c:tx>
          <c:spPr>
            <a:blipFill rotWithShape="1">
              <a:blip xmlns:r="http://schemas.openxmlformats.org/officeDocument/2006/relationships" r:embed="rId4"/>
              <a:stretch>
                <a:fillRect/>
              </a:stretch>
            </a:blipFill>
            <a:ln>
              <a:noFill/>
            </a:ln>
            <a:effectLst>
              <a:outerShdw blurRad="76200" dir="13500000" sy="23000" kx="1200000" algn="br"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机动车保有量（辆） </c:v>
                </c:pt>
              </c:strCache>
            </c:strRef>
          </c:cat>
          <c:val>
            <c:numRef>
              <c:f>Sheet1!$C$2</c:f>
              <c:numCache>
                <c:formatCode>General</c:formatCode>
                <c:ptCount val="1"/>
                <c:pt idx="0">
                  <c:v>10564</c:v>
                </c:pt>
              </c:numCache>
            </c:numRef>
          </c:val>
        </c:ser>
        <c:ser>
          <c:idx val="2"/>
          <c:order val="2"/>
          <c:tx>
            <c:strRef>
              <c:f>Sheet1!$D$1</c:f>
              <c:strCache>
                <c:ptCount val="1"/>
                <c:pt idx="0">
                  <c:v>2017年</c:v>
                </c:pt>
              </c:strCache>
            </c:strRef>
          </c:tx>
          <c:spPr>
            <a:blipFill rotWithShape="1">
              <a:blip xmlns:r="http://schemas.openxmlformats.org/officeDocument/2006/relationships" r:embed="rId5"/>
              <a:stretch>
                <a:fillRect/>
              </a:stretch>
            </a:blipFill>
            <a:ln>
              <a:noFill/>
            </a:ln>
            <a:effectLst>
              <a:outerShdw blurRad="76200" dir="13500000" sy="23000" kx="1200000" algn="br"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机动车保有量（辆） </c:v>
                </c:pt>
              </c:strCache>
            </c:strRef>
          </c:cat>
          <c:val>
            <c:numRef>
              <c:f>Sheet1!$D$2</c:f>
              <c:numCache>
                <c:formatCode>General</c:formatCode>
                <c:ptCount val="1"/>
                <c:pt idx="0">
                  <c:v>12133</c:v>
                </c:pt>
              </c:numCache>
            </c:numRef>
          </c:val>
        </c:ser>
        <c:ser>
          <c:idx val="3"/>
          <c:order val="3"/>
          <c:tx>
            <c:strRef>
              <c:f>Sheet1!$E$1</c:f>
              <c:strCache>
                <c:ptCount val="1"/>
                <c:pt idx="0">
                  <c:v>2018年</c:v>
                </c:pt>
              </c:strCache>
            </c:strRef>
          </c:tx>
          <c:spPr>
            <a:blipFill rotWithShape="1">
              <a:blip xmlns:r="http://schemas.openxmlformats.org/officeDocument/2006/relationships" r:embed="rId6"/>
              <a:stretch>
                <a:fillRect/>
              </a:stretch>
            </a:blipFill>
            <a:ln>
              <a:noFill/>
            </a:ln>
            <a:effectLst>
              <a:outerShdw blurRad="76200" dir="13500000" sy="23000" kx="1200000" algn="br"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机动车保有量（辆） </c:v>
                </c:pt>
              </c:strCache>
            </c:strRef>
          </c:cat>
          <c:val>
            <c:numRef>
              <c:f>Sheet1!$E$2</c:f>
              <c:numCache>
                <c:formatCode>General</c:formatCode>
                <c:ptCount val="1"/>
                <c:pt idx="0">
                  <c:v>12208</c:v>
                </c:pt>
              </c:numCache>
            </c:numRef>
          </c:val>
        </c:ser>
        <c:ser>
          <c:idx val="4"/>
          <c:order val="4"/>
          <c:tx>
            <c:strRef>
              <c:f>Sheet1!$F$1</c:f>
              <c:strCache>
                <c:ptCount val="1"/>
                <c:pt idx="0">
                  <c:v>2019年</c:v>
                </c:pt>
              </c:strCache>
            </c:strRef>
          </c:tx>
          <c:spPr>
            <a:blipFill rotWithShape="1">
              <a:blip xmlns:r="http://schemas.openxmlformats.org/officeDocument/2006/relationships" r:embed="rId3"/>
              <a:stretch>
                <a:fillRect/>
              </a:stretch>
            </a:blipFill>
            <a:ln>
              <a:noFill/>
            </a:ln>
            <a:effectLst>
              <a:outerShdw blurRad="76200" dir="13500000" sy="23000" kx="1200000" algn="br"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机动车保有量（辆） </c:v>
                </c:pt>
              </c:strCache>
            </c:strRef>
          </c:cat>
          <c:val>
            <c:numRef>
              <c:f>Sheet1!$F$2</c:f>
              <c:numCache>
                <c:formatCode>General</c:formatCode>
                <c:ptCount val="1"/>
                <c:pt idx="0">
                  <c:v>15240</c:v>
                </c:pt>
              </c:numCache>
            </c:numRef>
          </c:val>
        </c:ser>
        <c:ser>
          <c:idx val="5"/>
          <c:order val="5"/>
          <c:tx>
            <c:strRef>
              <c:f>Sheet1!$G$1</c:f>
              <c:strCache>
                <c:ptCount val="1"/>
                <c:pt idx="0">
                  <c:v>2020年</c:v>
                </c:pt>
              </c:strCache>
            </c:strRef>
          </c:tx>
          <c:spPr>
            <a:blipFill rotWithShape="1">
              <a:blip xmlns:r="http://schemas.openxmlformats.org/officeDocument/2006/relationships" r:embed="rId4"/>
              <a:stretch>
                <a:fillRect/>
              </a:stretch>
            </a:blipFill>
            <a:ln>
              <a:noFill/>
            </a:ln>
            <a:effectLst>
              <a:outerShdw blurRad="76200" dir="13500000" sy="23000" kx="1200000" algn="br"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机动车保有量（辆） </c:v>
                </c:pt>
              </c:strCache>
            </c:strRef>
          </c:cat>
          <c:val>
            <c:numRef>
              <c:f>Sheet1!$G$2</c:f>
              <c:numCache>
                <c:formatCode>General</c:formatCode>
                <c:ptCount val="1"/>
                <c:pt idx="0">
                  <c:v>16203</c:v>
                </c:pt>
              </c:numCache>
            </c:numRef>
          </c:val>
        </c:ser>
        <c:dLbls>
          <c:showLegendKey val="0"/>
          <c:showVal val="1"/>
          <c:showCatName val="0"/>
          <c:showSerName val="0"/>
          <c:showPercent val="0"/>
          <c:showBubbleSize val="0"/>
        </c:dLbls>
        <c:gapWidth val="100"/>
        <c:overlap val="10"/>
        <c:axId val="817199780"/>
        <c:axId val="592108138"/>
      </c:barChart>
      <c:catAx>
        <c:axId val="8171997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92108138"/>
        <c:crosses val="autoZero"/>
        <c:auto val="1"/>
        <c:lblAlgn val="ctr"/>
        <c:lblOffset val="100"/>
        <c:noMultiLvlLbl val="1"/>
      </c:catAx>
      <c:valAx>
        <c:axId val="59210813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17199780"/>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28325</Words>
  <Characters>29594</Characters>
  <Lines>0</Lines>
  <Paragraphs>0</Paragraphs>
  <TotalTime>14</TotalTime>
  <ScaleCrop>false</ScaleCrop>
  <LinksUpToDate>false</LinksUpToDate>
  <CharactersWithSpaces>30002</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2020-12-02T08:34:00Z</dcterms:created>
  <dc:creator>张琪</dc:creator>
  <cp:lastModifiedBy>Administrator</cp:lastModifiedBy>
  <dcterms:modified xsi:type="dcterms:W3CDTF">2022-07-22T04:11:49Z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y fmtid="{D5CDD505-2E9C-101B-9397-08002B2CF9AE}" pid="3" name="ICV">
    <vt:lpwstr>6ACE230074644F77845EB7BA4888BA00</vt:lpwstr>
  </property>
</Properties>
</file>