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25400</wp:posOffset>
                </wp:positionV>
                <wp:extent cx="5443855" cy="8883650"/>
                <wp:effectExtent l="19050" t="19050" r="23495" b="31750"/>
                <wp:wrapNone/>
                <wp:docPr id="1" name="文本框 1"/>
                <wp:cNvGraphicFramePr/>
                <a:graphic xmlns:a="http://schemas.openxmlformats.org/drawingml/2006/main">
                  <a:graphicData uri="http://schemas.microsoft.com/office/word/2010/wordprocessingShape">
                    <wps:wsp>
                      <wps:cNvSpPr txBox="1"/>
                      <wps:spPr>
                        <a:xfrm>
                          <a:off x="1139825" y="931545"/>
                          <a:ext cx="5443855" cy="8883650"/>
                        </a:xfrm>
                        <a:prstGeom prst="rect">
                          <a:avLst/>
                        </a:prstGeom>
                        <a:noFill/>
                        <a:ln w="38100" cmpd="dbl">
                          <a:solidFill>
                            <a:srgbClr val="000000"/>
                          </a:solidFill>
                          <a:prstDash val="solid"/>
                        </a:ln>
                        <a:effectLst/>
                      </wps:spPr>
                      <wps:txbx>
                        <w:txbxContent>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24团机关单位</w:t>
                            </w: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201</w:t>
                            </w:r>
                            <w:r>
                              <w:rPr>
                                <w:rFonts w:hint="eastAsia" w:ascii="方正小标宋简体" w:hAnsi="方正小标宋简体" w:eastAsia="方正小标宋简体" w:cs="方正小标宋简体"/>
                                <w:sz w:val="72"/>
                                <w:szCs w:val="72"/>
                                <w:lang w:val="en-US" w:eastAsia="zh-CN"/>
                              </w:rPr>
                              <w:t>9</w:t>
                            </w:r>
                            <w:r>
                              <w:rPr>
                                <w:rFonts w:hint="eastAsia" w:ascii="方正小标宋简体" w:hAnsi="方正小标宋简体" w:eastAsia="方正小标宋简体" w:cs="方正小标宋简体"/>
                                <w:sz w:val="72"/>
                                <w:szCs w:val="72"/>
                              </w:rPr>
                              <w:t>年度部门决算</w:t>
                            </w: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宋体" w:hAnsi="宋体" w:eastAsia="宋体" w:cs="宋体"/>
                                <w:sz w:val="44"/>
                                <w:szCs w:val="44"/>
                              </w:rPr>
                            </w:pPr>
                          </w:p>
                          <w:p>
                            <w:pPr>
                              <w:jc w:val="center"/>
                            </w:pPr>
                            <w:r>
                              <w:rPr>
                                <w:rFonts w:hint="eastAsia"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2pt;height:699.5pt;width:428.65pt;mso-position-horizontal:center;z-index:251658240;mso-width-relative:page;mso-height-relative:page;" filled="f" stroked="t" coordsize="21600,21600" o:gfxdata="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k7WfWAAAA&#10;BwEAAA8AAAAAAAAAAQAgAAAAIgAAAGRycy9kb3ducmV2LnhtbFBLAQIUABQAAAAIAIdO4kAL6T6I&#10;WAIAAIAEAAAOAAAAAAAAAAEAIAAAACUBAABkcnMvZTJvRG9jLnhtbFBLBQYAAAAABgAGAFkBAADv&#10;BQAAAAA=&#10;">
                <v:fill on="f" focussize="0,0"/>
                <v:stroke weight="3pt" color="#000000" linestyle="thinThin" joinstyle="round"/>
                <v:imagedata o:title=""/>
                <o:lock v:ext="edit" aspectratio="f"/>
                <v:textbox>
                  <w:txbxContent>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24团机关单位</w:t>
                      </w: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201</w:t>
                      </w:r>
                      <w:r>
                        <w:rPr>
                          <w:rFonts w:hint="eastAsia" w:ascii="方正小标宋简体" w:hAnsi="方正小标宋简体" w:eastAsia="方正小标宋简体" w:cs="方正小标宋简体"/>
                          <w:sz w:val="72"/>
                          <w:szCs w:val="72"/>
                          <w:lang w:val="en-US" w:eastAsia="zh-CN"/>
                        </w:rPr>
                        <w:t>9</w:t>
                      </w:r>
                      <w:r>
                        <w:rPr>
                          <w:rFonts w:hint="eastAsia" w:ascii="方正小标宋简体" w:hAnsi="方正小标宋简体" w:eastAsia="方正小标宋简体" w:cs="方正小标宋简体"/>
                          <w:sz w:val="72"/>
                          <w:szCs w:val="72"/>
                        </w:rPr>
                        <w:t>年度部门决算</w:t>
                      </w: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宋体" w:hAnsi="宋体" w:eastAsia="宋体" w:cs="宋体"/>
                          <w:sz w:val="44"/>
                          <w:szCs w:val="44"/>
                        </w:rPr>
                      </w:pPr>
                    </w:p>
                    <w:p>
                      <w:pPr>
                        <w:jc w:val="center"/>
                      </w:pPr>
                      <w:r>
                        <w:rPr>
                          <w:rFonts w:hint="eastAsia" w:ascii="宋体" w:hAnsi="宋体" w:eastAsia="宋体" w:cs="宋体"/>
                          <w:sz w:val="32"/>
                          <w:szCs w:val="32"/>
                        </w:rPr>
                        <w:t>20</w:t>
                      </w:r>
                      <w:r>
                        <w:rPr>
                          <w:rFonts w:hint="eastAsia" w:ascii="宋体" w:hAnsi="宋体" w:eastAsia="宋体" w:cs="宋体"/>
                          <w:sz w:val="32"/>
                          <w:szCs w:val="32"/>
                          <w:lang w:val="en-US" w:eastAsia="zh-CN"/>
                        </w:rPr>
                        <w:t>20</w:t>
                      </w:r>
                      <w:r>
                        <w:rPr>
                          <w:rFonts w:hint="eastAsia" w:ascii="宋体" w:hAnsi="宋体" w:eastAsia="宋体" w:cs="宋体"/>
                          <w:sz w:val="32"/>
                          <w:szCs w:val="32"/>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p>
                  </w:txbxContent>
                </v:textbox>
              </v:shape>
            </w:pict>
          </mc:Fallback>
        </mc:AlternateContent>
      </w:r>
    </w:p>
    <w:p/>
    <w:p/>
    <w:p/>
    <w:p/>
    <w:p/>
    <w:p>
      <w:r>
        <w:rPr>
          <w:rFonts w:hint="eastAsia"/>
        </w:rPr>
        <w:t xml:space="preserve">     </w:t>
      </w:r>
    </w:p>
    <w:p/>
    <w:p/>
    <w:p/>
    <w:p/>
    <w:p/>
    <w:p/>
    <w:p/>
    <w:p/>
    <w:p>
      <w:pPr>
        <w:jc w:val="center"/>
        <w:rPr>
          <w:rFonts w:ascii="宋体" w:hAnsi="宋体" w:eastAsia="宋体" w:cs="宋体"/>
          <w:sz w:val="44"/>
          <w:szCs w:val="44"/>
        </w:rPr>
      </w:pPr>
    </w:p>
    <w:p>
      <w:pPr>
        <w:jc w:val="center"/>
        <w:rPr>
          <w:rFonts w:ascii="黑体" w:hAnsi="黑体" w:eastAsia="黑体" w:cs="黑体"/>
          <w:sz w:val="44"/>
          <w:szCs w:val="44"/>
        </w:rPr>
        <w:sectPr>
          <w:pgSz w:w="11906" w:h="16838"/>
          <w:pgMar w:top="1440" w:right="566" w:bottom="1440" w:left="0" w:header="851" w:footer="992" w:gutter="0"/>
          <w:pgNumType w:start="1"/>
          <w:cols w:space="425" w:num="1"/>
          <w:docGrid w:type="lines" w:linePitch="312" w:charSpace="0"/>
        </w:sectPr>
      </w:pPr>
    </w:p>
    <w:p>
      <w:pPr>
        <w:jc w:val="center"/>
        <w:rPr>
          <w:rFonts w:ascii="黑体" w:hAnsi="黑体" w:eastAsia="黑体" w:cs="黑体"/>
          <w:sz w:val="44"/>
          <w:szCs w:val="44"/>
        </w:rPr>
      </w:pPr>
      <w:r>
        <w:rPr>
          <w:rFonts w:hint="eastAsia" w:ascii="黑体" w:hAnsi="黑体" w:eastAsia="黑体" w:cs="黑体"/>
          <w:sz w:val="44"/>
          <w:szCs w:val="44"/>
        </w:rPr>
        <w:t>目录</w:t>
      </w:r>
    </w:p>
    <w:p>
      <w:pPr>
        <w:widowControl/>
        <w:numPr>
          <w:ilvl w:val="0"/>
          <w:numId w:val="1"/>
        </w:numPr>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24团机关部门概况</w:t>
      </w:r>
    </w:p>
    <w:p>
      <w:pPr>
        <w:widowControl/>
        <w:numPr>
          <w:ilvl w:val="0"/>
          <w:numId w:val="2"/>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部门职责</w:t>
      </w:r>
    </w:p>
    <w:p>
      <w:pPr>
        <w:widowControl/>
        <w:numPr>
          <w:ilvl w:val="0"/>
          <w:numId w:val="2"/>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机构设置</w:t>
      </w:r>
    </w:p>
    <w:p>
      <w:pPr>
        <w:widowControl/>
        <w:numPr>
          <w:ilvl w:val="0"/>
          <w:numId w:val="1"/>
        </w:numPr>
        <w:jc w:val="left"/>
        <w:rPr>
          <w:rFonts w:ascii="黑体" w:hAnsi="宋体" w:eastAsia="黑体" w:cs="黑体"/>
          <w:color w:val="000000"/>
          <w:kern w:val="0"/>
          <w:sz w:val="32"/>
          <w:szCs w:val="32"/>
        </w:rPr>
      </w:pPr>
      <w:r>
        <w:rPr>
          <w:rFonts w:hint="eastAsia" w:ascii="黑体" w:hAnsi="宋体" w:eastAsia="黑体" w:cs="黑体"/>
          <w:color w:val="000000"/>
          <w:kern w:val="0"/>
          <w:sz w:val="32"/>
          <w:szCs w:val="32"/>
        </w:rPr>
        <w:t>201</w:t>
      </w:r>
      <w:r>
        <w:rPr>
          <w:rFonts w:hint="eastAsia" w:ascii="黑体" w:hAnsi="宋体" w:eastAsia="黑体" w:cs="黑体"/>
          <w:color w:val="000000"/>
          <w:kern w:val="0"/>
          <w:sz w:val="32"/>
          <w:szCs w:val="32"/>
          <w:lang w:val="en-US" w:eastAsia="zh-CN"/>
        </w:rPr>
        <w:t>9</w:t>
      </w:r>
      <w:r>
        <w:rPr>
          <w:rFonts w:hint="eastAsia" w:ascii="黑体" w:hAnsi="宋体" w:eastAsia="黑体" w:cs="黑体"/>
          <w:color w:val="000000"/>
          <w:kern w:val="0"/>
          <w:sz w:val="32"/>
          <w:szCs w:val="32"/>
        </w:rPr>
        <w:t>年度部门决算表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收入支出决算总表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收入决算表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支出决算表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财政拨款收入支出决算总表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一般公共预算财政拨款支出决算表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一般公共预算财政拨款基本支出决算表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一般公共预算财政拨款“三公”经费支出决算表</w:t>
      </w:r>
    </w:p>
    <w:p>
      <w:pPr>
        <w:widowControl/>
        <w:numPr>
          <w:ilvl w:val="0"/>
          <w:numId w:val="3"/>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政府性基金预算财政拨款收入支出决算表</w:t>
      </w:r>
    </w:p>
    <w:p>
      <w:pPr>
        <w:widowControl/>
        <w:numPr>
          <w:ilvl w:val="0"/>
          <w:numId w:val="1"/>
        </w:numPr>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201</w:t>
      </w:r>
      <w:r>
        <w:rPr>
          <w:rFonts w:hint="eastAsia" w:ascii="黑体" w:hAnsi="黑体" w:eastAsia="黑体" w:cs="黑体"/>
          <w:color w:val="000000"/>
          <w:kern w:val="0"/>
          <w:sz w:val="32"/>
          <w:szCs w:val="32"/>
          <w:lang w:val="en-US" w:eastAsia="zh-CN"/>
        </w:rPr>
        <w:t>9</w:t>
      </w:r>
      <w:r>
        <w:rPr>
          <w:rFonts w:hint="eastAsia" w:ascii="黑体" w:hAnsi="黑体" w:eastAsia="黑体" w:cs="黑体"/>
          <w:color w:val="000000"/>
          <w:kern w:val="0"/>
          <w:sz w:val="32"/>
          <w:szCs w:val="32"/>
        </w:rPr>
        <w:t xml:space="preserve">年度部门决算情况说明 </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一、部门收支总体情况</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（一）部门收入支出决算总体情况说明</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（二）部门收入总体情况说明</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（三）部门支出总体情况说明</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二、部门财政拨款收支情况</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（一）财政拨款收支总体情况说明</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（二）一般公共预算决算情况说明</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（三）政府性基金预算收支决算情况说明</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三、部门结转结余情况</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四、一般公共预算“三公”经费情况</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五、机关运行经费支出情况</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六、政府采购情况</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七、国有资产占用情况说明</w:t>
      </w: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第四部分 专业名词解释</w:t>
      </w: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color w:val="FF0000"/>
          <w:sz w:val="44"/>
          <w:szCs w:val="44"/>
        </w:rPr>
      </w:pPr>
    </w:p>
    <w:p>
      <w:pPr>
        <w:rPr>
          <w:rFonts w:ascii="黑体" w:hAnsi="黑体" w:eastAsia="黑体" w:cs="黑体"/>
          <w:sz w:val="44"/>
          <w:szCs w:val="44"/>
        </w:rPr>
      </w:pPr>
    </w:p>
    <w:p>
      <w:pPr>
        <w:widowControl/>
        <w:tabs>
          <w:tab w:val="left" w:pos="664"/>
        </w:tabs>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第一部分 24团机关部门概况</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一、部门职责</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1、党政办公室主要职责：负责团场党委、行政办公室、保密、政研、督查、史志、档案、信息、机关事务管理等工作。</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2、党建工作办公室主要职责：负责纪检、组织、宣传、文体广电、实名制管理、精神文明建设、老干（关工委）等工作，负责工、青、妇、群团组织等日常工作。</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3、经济发展办公室主要职责：负责制定并组织实施经济发展规划，推动产业结构调整，做好相关引导、服务等工作；负责安全生产、扶贫、招商引资、项目建设、市场监管、生态保护、科技、工业和信息化、交通、水利、农业、商业、旅游、工商联日常工作、经济运行分析和统计分析等工作；协调与经济发展相关的其他各项工作。</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4、社会事务办公室主要职责：负责人力资源和社会保障、民政、社会救助、人口和计划生育、残联、学前教育、社区建设指导等工作；协调教育、卫生和其他与社会事务相关的工作。</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5、社会管理综合治理办公室主要职责：负责政法、维稳、综合治理、统战、民族、宗教、信访等工作，协调驻团场政法机构等工作。</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6、财政所主要职责：负责财政、财政监督、国有资产监管等工作。</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二、机构设置</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1. 党政办公室</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 党建工作办公室</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3. 经济发展办公室</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4. 社会事务办公室</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5. 社会管理综合治理办公室</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6. 财政所</w:t>
      </w:r>
    </w:p>
    <w:p>
      <w:pPr>
        <w:widowControl/>
        <w:jc w:val="left"/>
        <w:rPr>
          <w:rFonts w:ascii="楷体_GB2312" w:hAnsi="楷体_GB2312" w:eastAsia="楷体_GB2312" w:cs="楷体_GB2312"/>
          <w:color w:val="000000"/>
          <w:kern w:val="0"/>
          <w:sz w:val="32"/>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widowControl/>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第二部分 201</w:t>
      </w:r>
      <w:r>
        <w:rPr>
          <w:rFonts w:hint="eastAsia" w:ascii="黑体" w:hAnsi="宋体" w:eastAsia="黑体" w:cs="黑体"/>
          <w:color w:val="000000"/>
          <w:kern w:val="0"/>
          <w:sz w:val="32"/>
          <w:szCs w:val="32"/>
          <w:lang w:val="en-US" w:eastAsia="zh-CN"/>
        </w:rPr>
        <w:t>9</w:t>
      </w:r>
      <w:r>
        <w:rPr>
          <w:rFonts w:hint="eastAsia" w:ascii="黑体" w:hAnsi="宋体" w:eastAsia="黑体" w:cs="黑体"/>
          <w:color w:val="000000"/>
          <w:kern w:val="0"/>
          <w:sz w:val="32"/>
          <w:szCs w:val="32"/>
        </w:rPr>
        <w:t>年度部门决算表</w:t>
      </w:r>
    </w:p>
    <w:tbl>
      <w:tblPr>
        <w:tblStyle w:val="5"/>
        <w:tblpPr w:leftFromText="180" w:rightFromText="180" w:vertAnchor="text" w:horzAnchor="page" w:tblpX="1543" w:tblpY="949"/>
        <w:tblOverlap w:val="never"/>
        <w:tblW w:w="14458" w:type="dxa"/>
        <w:tblInd w:w="0" w:type="dxa"/>
        <w:shd w:val="clear" w:color="auto" w:fill="auto"/>
        <w:tblLayout w:type="autofit"/>
        <w:tblCellMar>
          <w:top w:w="0" w:type="dxa"/>
          <w:left w:w="0" w:type="dxa"/>
          <w:bottom w:w="0" w:type="dxa"/>
          <w:right w:w="0" w:type="dxa"/>
        </w:tblCellMar>
      </w:tblPr>
      <w:tblGrid>
        <w:gridCol w:w="4577"/>
        <w:gridCol w:w="646"/>
        <w:gridCol w:w="2007"/>
        <w:gridCol w:w="4577"/>
        <w:gridCol w:w="646"/>
        <w:gridCol w:w="2005"/>
      </w:tblGrid>
      <w:tr>
        <w:tblPrEx>
          <w:shd w:val="clear" w:color="auto" w:fill="auto"/>
          <w:tblCellMar>
            <w:top w:w="0" w:type="dxa"/>
            <w:left w:w="0" w:type="dxa"/>
            <w:bottom w:w="0" w:type="dxa"/>
            <w:right w:w="0" w:type="dxa"/>
          </w:tblCellMar>
        </w:tblPrEx>
        <w:trPr>
          <w:trHeight w:val="561" w:hRule="atLeast"/>
        </w:trPr>
        <w:tc>
          <w:tcPr>
            <w:tcW w:w="14458"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收入支出决算批复表</w:t>
            </w:r>
          </w:p>
        </w:tc>
      </w:tr>
      <w:tr>
        <w:tblPrEx>
          <w:tblCellMar>
            <w:top w:w="0" w:type="dxa"/>
            <w:left w:w="0" w:type="dxa"/>
            <w:bottom w:w="0" w:type="dxa"/>
            <w:right w:w="0" w:type="dxa"/>
          </w:tblCellMar>
        </w:tblPrEx>
        <w:trPr>
          <w:trHeight w:val="287"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财决批复01表</w:t>
            </w:r>
          </w:p>
        </w:tc>
      </w:tr>
      <w:tr>
        <w:tblPrEx>
          <w:tblCellMar>
            <w:top w:w="0" w:type="dxa"/>
            <w:left w:w="0" w:type="dxa"/>
            <w:bottom w:w="0" w:type="dxa"/>
            <w:right w:w="0" w:type="dxa"/>
          </w:tblCellMar>
        </w:tblPrEx>
        <w:trPr>
          <w:trHeight w:val="287"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部门：新疆兵团第二师二十四团机关</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29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10,784,634.86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4,581,568.21</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三、上级补助收入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四、事业收入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五、经营收入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844,851.50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六、附属单位上缴收入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七、其他收入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2,123,421.43</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single" w:color="auto" w:sz="4" w:space="0"/>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auto" w:sz="4" w:space="0"/>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295,701.00</w:t>
            </w: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10,944,634.86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10,210,434.43</w:t>
            </w: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90"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424,387.00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1,158,587.43</w:t>
            </w: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6" w:hRule="atLeast"/>
        </w:trPr>
        <w:tc>
          <w:tcPr>
            <w:tcW w:w="0" w:type="auto"/>
            <w:tcBorders>
              <w:top w:val="nil"/>
              <w:left w:val="single" w:color="auto"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11,369,021.86</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11,369,021.86</w:t>
            </w:r>
          </w:p>
        </w:tc>
      </w:tr>
      <w:tr>
        <w:tblPrEx>
          <w:tblCellMar>
            <w:top w:w="0" w:type="dxa"/>
            <w:left w:w="0" w:type="dxa"/>
            <w:bottom w:w="0" w:type="dxa"/>
            <w:right w:w="0" w:type="dxa"/>
          </w:tblCellMar>
        </w:tblPrEx>
        <w:trPr>
          <w:trHeight w:val="296" w:hRule="atLeast"/>
        </w:trPr>
        <w:tc>
          <w:tcPr>
            <w:tcW w:w="0" w:type="auto"/>
            <w:gridSpan w:val="6"/>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注：1.本表依据《收入支出决算总表》（财决01表）进行批复。</w:t>
            </w:r>
          </w:p>
        </w:tc>
      </w:tr>
      <w:tr>
        <w:tblPrEx>
          <w:tblCellMar>
            <w:top w:w="0" w:type="dxa"/>
            <w:left w:w="0" w:type="dxa"/>
            <w:bottom w:w="0" w:type="dxa"/>
            <w:right w:w="0" w:type="dxa"/>
          </w:tblCellMar>
        </w:tblPrEx>
        <w:trPr>
          <w:trHeight w:val="287"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2.本表含政府性基金预算财政拨款。</w:t>
            </w:r>
          </w:p>
        </w:tc>
      </w:tr>
      <w:tr>
        <w:tblPrEx>
          <w:tblCellMar>
            <w:top w:w="0" w:type="dxa"/>
            <w:left w:w="0" w:type="dxa"/>
            <w:bottom w:w="0" w:type="dxa"/>
            <w:right w:w="0" w:type="dxa"/>
          </w:tblCellMar>
        </w:tblPrEx>
        <w:trPr>
          <w:trHeight w:val="287"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3.本表以“万元”为金额单位（保留两位小数）。</w:t>
            </w:r>
          </w:p>
        </w:tc>
      </w:tr>
    </w:tbl>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center"/>
        <w:rPr>
          <w:rFonts w:ascii="楷体_GB2312" w:hAnsi="楷体_GB2312" w:eastAsia="楷体_GB2312" w:cs="楷体_GB2312"/>
          <w:color w:val="000000"/>
          <w:kern w:val="0"/>
          <w:sz w:val="32"/>
          <w:szCs w:val="32"/>
        </w:rPr>
      </w:pPr>
    </w:p>
    <w:tbl>
      <w:tblPr>
        <w:tblStyle w:val="5"/>
        <w:tblpPr w:leftFromText="180" w:rightFromText="180" w:vertAnchor="text" w:horzAnchor="page" w:tblpXSpec="center" w:tblpY="3304"/>
        <w:tblOverlap w:val="never"/>
        <w:tblW w:w="14360" w:type="dxa"/>
        <w:jc w:val="center"/>
        <w:shd w:val="clear" w:color="auto" w:fill="auto"/>
        <w:tblLayout w:type="fixed"/>
        <w:tblCellMar>
          <w:top w:w="0" w:type="dxa"/>
          <w:left w:w="0" w:type="dxa"/>
          <w:bottom w:w="0" w:type="dxa"/>
          <w:right w:w="0" w:type="dxa"/>
        </w:tblCellMar>
      </w:tblPr>
      <w:tblGrid>
        <w:gridCol w:w="3196"/>
        <w:gridCol w:w="249"/>
        <w:gridCol w:w="246"/>
        <w:gridCol w:w="3799"/>
        <w:gridCol w:w="1723"/>
        <w:gridCol w:w="1553"/>
        <w:gridCol w:w="563"/>
        <w:gridCol w:w="565"/>
        <w:gridCol w:w="565"/>
        <w:gridCol w:w="565"/>
        <w:gridCol w:w="1336"/>
      </w:tblGrid>
      <w:tr>
        <w:tblPrEx>
          <w:shd w:val="clear" w:color="auto" w:fill="auto"/>
          <w:tblCellMar>
            <w:top w:w="0" w:type="dxa"/>
            <w:left w:w="0" w:type="dxa"/>
            <w:bottom w:w="0" w:type="dxa"/>
            <w:right w:w="0" w:type="dxa"/>
          </w:tblCellMar>
        </w:tblPrEx>
        <w:trPr>
          <w:trHeight w:val="90" w:hRule="atLeast"/>
          <w:jc w:val="center"/>
        </w:trPr>
        <w:tc>
          <w:tcPr>
            <w:tcW w:w="14360" w:type="dxa"/>
            <w:gridSpan w:val="11"/>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kern w:val="0"/>
                <w:sz w:val="30"/>
                <w:szCs w:val="30"/>
                <w:u w:val="none"/>
                <w:lang w:val="en-US" w:eastAsia="zh-CN" w:bidi="ar"/>
              </w:rPr>
            </w:pPr>
            <w:r>
              <w:rPr>
                <w:rFonts w:hint="eastAsia" w:ascii="宋体" w:hAnsi="宋体" w:eastAsia="宋体" w:cs="宋体"/>
                <w:i w:val="0"/>
                <w:color w:val="000000"/>
                <w:kern w:val="0"/>
                <w:sz w:val="30"/>
                <w:szCs w:val="30"/>
                <w:u w:val="none"/>
                <w:lang w:val="en-US" w:eastAsia="zh-CN" w:bidi="ar"/>
              </w:rPr>
              <w:t>收入决算批复表</w:t>
            </w:r>
          </w:p>
          <w:p>
            <w:pPr>
              <w:jc w:val="center"/>
              <w:rPr>
                <w:rFonts w:hint="default" w:ascii="宋体" w:hAnsi="宋体" w:eastAsia="宋体" w:cs="宋体"/>
                <w:i w:val="0"/>
                <w:color w:val="000000"/>
                <w:kern w:val="0"/>
                <w:sz w:val="30"/>
                <w:szCs w:val="30"/>
                <w:u w:val="none"/>
                <w:lang w:val="en-US" w:eastAsia="zh-CN" w:bidi="ar"/>
              </w:rPr>
            </w:pPr>
          </w:p>
        </w:tc>
      </w:tr>
      <w:tr>
        <w:tblPrEx>
          <w:tblCellMar>
            <w:top w:w="0" w:type="dxa"/>
            <w:left w:w="0" w:type="dxa"/>
            <w:bottom w:w="0" w:type="dxa"/>
            <w:right w:w="0" w:type="dxa"/>
          </w:tblCellMar>
        </w:tblPrEx>
        <w:trPr>
          <w:trHeight w:val="662" w:hRule="atLeast"/>
          <w:jc w:val="center"/>
        </w:trPr>
        <w:tc>
          <w:tcPr>
            <w:tcW w:w="31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7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财决批复02表</w:t>
            </w:r>
          </w:p>
        </w:tc>
      </w:tr>
      <w:tr>
        <w:tblPrEx>
          <w:tblCellMar>
            <w:top w:w="0" w:type="dxa"/>
            <w:left w:w="0" w:type="dxa"/>
            <w:bottom w:w="0" w:type="dxa"/>
            <w:right w:w="0" w:type="dxa"/>
          </w:tblCellMar>
        </w:tblPrEx>
        <w:trPr>
          <w:trHeight w:val="447" w:hRule="atLeast"/>
          <w:jc w:val="center"/>
        </w:trPr>
        <w:tc>
          <w:tcPr>
            <w:tcW w:w="319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部门：新疆兵团第二师二十四团机关</w:t>
            </w:r>
          </w:p>
        </w:tc>
        <w:tc>
          <w:tcPr>
            <w:tcW w:w="249"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6"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799"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23"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53"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3"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6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3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65" w:hRule="atLeast"/>
          <w:jc w:val="center"/>
        </w:trPr>
        <w:tc>
          <w:tcPr>
            <w:tcW w:w="3691" w:type="dxa"/>
            <w:gridSpan w:val="3"/>
            <w:vMerge w:val="restart"/>
            <w:tcBorders>
              <w:top w:val="single" w:color="auto" w:sz="4" w:space="0"/>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799" w:type="dxa"/>
            <w:vMerge w:val="restart"/>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23" w:type="dxa"/>
            <w:vMerge w:val="restart"/>
            <w:tcBorders>
              <w:top w:val="single" w:color="auto"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53" w:type="dxa"/>
            <w:vMerge w:val="restart"/>
            <w:tcBorders>
              <w:top w:val="single" w:color="auto"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563" w:type="dxa"/>
            <w:vMerge w:val="restart"/>
            <w:tcBorders>
              <w:top w:val="single" w:color="auto"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565" w:type="dxa"/>
            <w:vMerge w:val="restart"/>
            <w:tcBorders>
              <w:top w:val="single" w:color="auto"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565" w:type="dxa"/>
            <w:vMerge w:val="restart"/>
            <w:tcBorders>
              <w:top w:val="single" w:color="auto"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565" w:type="dxa"/>
            <w:vMerge w:val="restart"/>
            <w:tcBorders>
              <w:top w:val="single" w:color="auto"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336" w:type="dxa"/>
            <w:vMerge w:val="restart"/>
            <w:tcBorders>
              <w:top w:val="single" w:color="auto" w:sz="4" w:space="0"/>
              <w:left w:val="nil"/>
              <w:bottom w:val="single" w:color="000000"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65" w:hRule="atLeast"/>
          <w:jc w:val="center"/>
        </w:trPr>
        <w:tc>
          <w:tcPr>
            <w:tcW w:w="3691" w:type="dxa"/>
            <w:gridSpan w:val="3"/>
            <w:vMerge w:val="continue"/>
            <w:tcBorders>
              <w:top w:val="single" w:color="000000" w:sz="4" w:space="0"/>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99" w:type="dxa"/>
            <w:vMerge w:val="continue"/>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6" w:type="dxa"/>
            <w:vMerge w:val="continue"/>
            <w:tcBorders>
              <w:top w:val="single" w:color="000000" w:sz="4" w:space="0"/>
              <w:left w:val="nil"/>
              <w:bottom w:val="single" w:color="000000"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5" w:hRule="atLeast"/>
          <w:jc w:val="center"/>
        </w:trPr>
        <w:tc>
          <w:tcPr>
            <w:tcW w:w="3691" w:type="dxa"/>
            <w:gridSpan w:val="3"/>
            <w:vMerge w:val="continue"/>
            <w:tcBorders>
              <w:top w:val="single" w:color="000000" w:sz="4" w:space="0"/>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99" w:type="dxa"/>
            <w:vMerge w:val="continue"/>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6" w:type="dxa"/>
            <w:vMerge w:val="continue"/>
            <w:tcBorders>
              <w:top w:val="single" w:color="000000" w:sz="4" w:space="0"/>
              <w:left w:val="nil"/>
              <w:bottom w:val="single" w:color="000000"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5" w:hRule="atLeast"/>
          <w:jc w:val="center"/>
        </w:trPr>
        <w:tc>
          <w:tcPr>
            <w:tcW w:w="3691" w:type="dxa"/>
            <w:gridSpan w:val="3"/>
            <w:vMerge w:val="continue"/>
            <w:tcBorders>
              <w:top w:val="single" w:color="000000" w:sz="4" w:space="0"/>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99" w:type="dxa"/>
            <w:vMerge w:val="continue"/>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6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6" w:type="dxa"/>
            <w:vMerge w:val="continue"/>
            <w:tcBorders>
              <w:top w:val="single" w:color="000000" w:sz="4" w:space="0"/>
              <w:left w:val="nil"/>
              <w:bottom w:val="single" w:color="000000"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65" w:hRule="atLeast"/>
          <w:jc w:val="center"/>
        </w:trPr>
        <w:tc>
          <w:tcPr>
            <w:tcW w:w="3196" w:type="dxa"/>
            <w:vMerge w:val="restart"/>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49"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46"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23"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53"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63"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6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6" w:type="dxa"/>
            <w:tcBorders>
              <w:top w:val="nil"/>
              <w:left w:val="nil"/>
              <w:bottom w:val="single" w:color="000000"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682" w:hRule="atLeast"/>
          <w:jc w:val="center"/>
        </w:trPr>
        <w:tc>
          <w:tcPr>
            <w:tcW w:w="3196" w:type="dxa"/>
            <w:vMerge w:val="continue"/>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9"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6"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10,944,634.86</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10,784,634.86</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160,000.00</w:t>
            </w:r>
          </w:p>
        </w:tc>
      </w:tr>
      <w:tr>
        <w:tblPrEx>
          <w:tblCellMar>
            <w:top w:w="0" w:type="dxa"/>
            <w:left w:w="0" w:type="dxa"/>
            <w:bottom w:w="0" w:type="dxa"/>
            <w:right w:w="0" w:type="dxa"/>
          </w:tblCellMar>
        </w:tblPrEx>
        <w:trPr>
          <w:trHeight w:val="682"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4,832,535.29</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4,832,535.29</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3,988,295.29</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3,988,295.29</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2010303</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3,918,295.29</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3,918,295.29</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2010607</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信息化建设</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招商引资</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2012399</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其他民族事务支出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474,680.00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474,680.00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2012902</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799"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723"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429,080.00</w:t>
            </w:r>
          </w:p>
        </w:tc>
        <w:tc>
          <w:tcPr>
            <w:tcW w:w="1553"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429,080.00</w:t>
            </w:r>
          </w:p>
        </w:tc>
        <w:tc>
          <w:tcPr>
            <w:tcW w:w="563"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其他党委办公厅（室）及相关机构事务支出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其他共产党事务支出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55,000.00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1,085,710.00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925,710.00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进修及培训</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925,710.00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925,710.00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925,710.00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925,710.00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2,171,453.39</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2,171,453.39</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2,000,723.39</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2,000,723.39</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89,950.40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89,950.40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1,298,654.53</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1,298,654.53</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222,918.46</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222,918.46</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389,200.00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389,200.00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79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72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5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563"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single" w:color="auto" w:sz="4" w:space="0"/>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799"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723"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1,170,537.95</w:t>
            </w:r>
          </w:p>
        </w:tc>
        <w:tc>
          <w:tcPr>
            <w:tcW w:w="1553"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1,170,537.95</w:t>
            </w:r>
          </w:p>
        </w:tc>
        <w:tc>
          <w:tcPr>
            <w:tcW w:w="563"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single" w:color="auto"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single" w:color="auto" w:sz="4" w:space="0"/>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1,170,537.95</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1,170,537.95</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682"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1,170,537.95</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1,170,537.95</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79,428.96</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79,428.96</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79,428.96</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79,428.96</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2130152</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对高校毕业生到基层任职补助</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79,428.96</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79,428.96</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2240699</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其他自然灾害防治支出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79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7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5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56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000000"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3691" w:type="dxa"/>
            <w:gridSpan w:val="3"/>
            <w:tcBorders>
              <w:top w:val="nil"/>
              <w:left w:val="single" w:color="auto"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3799"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723"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1553"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30,000.00</w:t>
            </w:r>
          </w:p>
        </w:tc>
        <w:tc>
          <w:tcPr>
            <w:tcW w:w="563"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65" w:type="dxa"/>
            <w:tcBorders>
              <w:top w:val="nil"/>
              <w:left w:val="nil"/>
              <w:bottom w:val="single" w:color="auto" w:sz="4" w:space="0"/>
              <w:right w:val="single" w:color="000000"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6" w:type="dxa"/>
            <w:tcBorders>
              <w:top w:val="nil"/>
              <w:left w:val="nil"/>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65" w:hRule="atLeast"/>
          <w:jc w:val="center"/>
        </w:trPr>
        <w:tc>
          <w:tcPr>
            <w:tcW w:w="14360" w:type="dxa"/>
            <w:gridSpan w:val="11"/>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注：1.本表依据《收入决算表》（财决03表）进行批复。</w:t>
            </w:r>
          </w:p>
        </w:tc>
      </w:tr>
      <w:tr>
        <w:tblPrEx>
          <w:tblCellMar>
            <w:top w:w="0" w:type="dxa"/>
            <w:left w:w="0" w:type="dxa"/>
            <w:bottom w:w="0" w:type="dxa"/>
            <w:right w:w="0" w:type="dxa"/>
          </w:tblCellMar>
        </w:tblPrEx>
        <w:trPr>
          <w:trHeight w:val="346" w:hRule="atLeast"/>
          <w:jc w:val="center"/>
        </w:trPr>
        <w:tc>
          <w:tcPr>
            <w:tcW w:w="14360"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2.本表含政府性基金预算财政拨款。</w:t>
            </w:r>
          </w:p>
        </w:tc>
      </w:tr>
      <w:tr>
        <w:tblPrEx>
          <w:tblCellMar>
            <w:top w:w="0" w:type="dxa"/>
            <w:left w:w="0" w:type="dxa"/>
            <w:bottom w:w="0" w:type="dxa"/>
            <w:right w:w="0" w:type="dxa"/>
          </w:tblCellMar>
        </w:tblPrEx>
        <w:trPr>
          <w:trHeight w:val="346" w:hRule="atLeast"/>
          <w:jc w:val="center"/>
        </w:trPr>
        <w:tc>
          <w:tcPr>
            <w:tcW w:w="14360"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3.本表批复到项级科目。</w:t>
            </w:r>
          </w:p>
        </w:tc>
      </w:tr>
      <w:tr>
        <w:tblPrEx>
          <w:tblCellMar>
            <w:top w:w="0" w:type="dxa"/>
            <w:left w:w="0" w:type="dxa"/>
            <w:bottom w:w="0" w:type="dxa"/>
            <w:right w:w="0" w:type="dxa"/>
          </w:tblCellMar>
        </w:tblPrEx>
        <w:trPr>
          <w:trHeight w:val="406" w:hRule="atLeast"/>
          <w:jc w:val="center"/>
        </w:trPr>
        <w:tc>
          <w:tcPr>
            <w:tcW w:w="14360"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4.本表以“万元”为金额单位（保留两位小数）。</w:t>
            </w:r>
          </w:p>
        </w:tc>
      </w:tr>
    </w:tbl>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tbl>
      <w:tblPr>
        <w:tblStyle w:val="5"/>
        <w:tblW w:w="17945" w:type="dxa"/>
        <w:tblInd w:w="-573" w:type="dxa"/>
        <w:shd w:val="clear" w:color="auto" w:fill="auto"/>
        <w:tblLayout w:type="fixed"/>
        <w:tblCellMar>
          <w:top w:w="0" w:type="dxa"/>
          <w:left w:w="0" w:type="dxa"/>
          <w:bottom w:w="0" w:type="dxa"/>
          <w:right w:w="0" w:type="dxa"/>
        </w:tblCellMar>
      </w:tblPr>
      <w:tblGrid>
        <w:gridCol w:w="2877"/>
        <w:gridCol w:w="880"/>
        <w:gridCol w:w="240"/>
        <w:gridCol w:w="3245"/>
        <w:gridCol w:w="1878"/>
        <w:gridCol w:w="1578"/>
        <w:gridCol w:w="1548"/>
        <w:gridCol w:w="855"/>
        <w:gridCol w:w="216"/>
        <w:gridCol w:w="624"/>
        <w:gridCol w:w="81"/>
        <w:gridCol w:w="870"/>
        <w:gridCol w:w="363"/>
        <w:gridCol w:w="2690"/>
      </w:tblGrid>
      <w:tr>
        <w:tblPrEx>
          <w:shd w:val="clear" w:color="auto" w:fill="auto"/>
          <w:tblCellMar>
            <w:top w:w="0" w:type="dxa"/>
            <w:left w:w="0" w:type="dxa"/>
            <w:bottom w:w="0" w:type="dxa"/>
            <w:right w:w="0" w:type="dxa"/>
          </w:tblCellMar>
        </w:tblPrEx>
        <w:trPr>
          <w:gridAfter w:val="2"/>
          <w:wAfter w:w="3053" w:type="dxa"/>
          <w:trHeight w:val="481" w:hRule="atLeast"/>
        </w:trPr>
        <w:tc>
          <w:tcPr>
            <w:tcW w:w="13317" w:type="dxa"/>
            <w:gridSpan w:val="9"/>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支出决算批复表</w:t>
            </w:r>
          </w:p>
        </w:tc>
        <w:tc>
          <w:tcPr>
            <w:tcW w:w="705"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gridAfter w:val="1"/>
          <w:wAfter w:w="2690" w:type="dxa"/>
          <w:trHeight w:val="262" w:hRule="atLeast"/>
        </w:trPr>
        <w:tc>
          <w:tcPr>
            <w:tcW w:w="287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2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7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4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154"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财决批复03表</w:t>
            </w:r>
          </w:p>
        </w:tc>
      </w:tr>
      <w:tr>
        <w:tblPrEx>
          <w:tblCellMar>
            <w:top w:w="0" w:type="dxa"/>
            <w:left w:w="0" w:type="dxa"/>
            <w:bottom w:w="0" w:type="dxa"/>
            <w:right w:w="0" w:type="dxa"/>
          </w:tblCellMar>
        </w:tblPrEx>
        <w:trPr>
          <w:gridAfter w:val="1"/>
          <w:wAfter w:w="2690" w:type="dxa"/>
          <w:trHeight w:val="255" w:hRule="atLeast"/>
        </w:trPr>
        <w:tc>
          <w:tcPr>
            <w:tcW w:w="375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部门：新疆兵团第二师二十四团机关</w:t>
            </w:r>
          </w:p>
        </w:tc>
        <w:tc>
          <w:tcPr>
            <w:tcW w:w="240"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24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78"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78"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548"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5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14"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gridAfter w:val="1"/>
          <w:wAfter w:w="2690" w:type="dxa"/>
          <w:trHeight w:val="312" w:hRule="atLeast"/>
        </w:trPr>
        <w:tc>
          <w:tcPr>
            <w:tcW w:w="3997"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2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7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8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840" w:type="dxa"/>
            <w:gridSpan w:val="2"/>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314"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gridAfter w:val="1"/>
          <w:wAfter w:w="2690" w:type="dxa"/>
          <w:trHeight w:val="308" w:hRule="atLeast"/>
        </w:trPr>
        <w:tc>
          <w:tcPr>
            <w:tcW w:w="3997"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4"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690" w:type="dxa"/>
          <w:trHeight w:val="308" w:hRule="atLeast"/>
        </w:trPr>
        <w:tc>
          <w:tcPr>
            <w:tcW w:w="3997"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4"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690" w:type="dxa"/>
          <w:trHeight w:val="312" w:hRule="atLeast"/>
        </w:trPr>
        <w:tc>
          <w:tcPr>
            <w:tcW w:w="3997"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gridSpan w:val="2"/>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4"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2690" w:type="dxa"/>
          <w:trHeight w:val="308" w:hRule="atLeast"/>
        </w:trPr>
        <w:tc>
          <w:tcPr>
            <w:tcW w:w="287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After w:val="1"/>
          <w:wAfter w:w="2690" w:type="dxa"/>
          <w:trHeight w:val="342" w:hRule="atLeast"/>
        </w:trPr>
        <w:tc>
          <w:tcPr>
            <w:tcW w:w="287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10,210,434.43</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6,499,549.55</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3,710,884.88</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4,581,568.21</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3,908,007.29</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673,560.92</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3,945,134.21</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3,908,007.29</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37,126.92</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2010303</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3,918,007.29</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3,908,007.29</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2010308</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ind w:left="-1260" w:leftChars="-600" w:right="580" w:rightChars="276" w:firstLine="1258" w:firstLineChars="572"/>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信访事务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27,126.92</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27,126.92</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商贸事务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122,008.00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122,008.00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2011308</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招商引资</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122,008.00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122,008.00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其他民族事务支出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20126</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135,786.00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135,786.00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2012602</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135,786.00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135,786.00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307,530.00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307,530.00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2012902</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265,930.00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265,930.00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49,750.00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49,750.00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2013199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其他党委办公厅（室）及相关机构事务支出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49,750.00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49,750.00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其他共产党事务支出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2013699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其他共产党事务支出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其他一般公共服务支出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2019999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其他一般公共服务支出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844,851.50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844,851.50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进修及培训</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40,837.00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40,837.00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2050803</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40,837.00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40,837.00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804,014.50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804,014.50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804,014.50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804,014.50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2,123,421.43</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1,521,572.99</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601,848.44</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行政事业单位离退休</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1,952,691.43</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1,521,572.99</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431,118.44</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89,950.40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89,950.40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1,298,654.53</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1,298,654.53</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2080506</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222,918.46</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222,918.46</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其他行政事业单位离退休支出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341,168.04</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341,168.04</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其他社会保障和就业支出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170,730.00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其他城乡社区管理事务支出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2130152</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对高校毕业生到基层任职补助</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295,701.00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295,701.00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应急管理事务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290,701.00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290,701.00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2240106</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安全监管</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290,701.00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290,701.00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自然灾害防治</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2240699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其他自然灾害防治支出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1"/>
          <w:wAfter w:w="2690" w:type="dxa"/>
          <w:trHeight w:val="308" w:hRule="atLeast"/>
        </w:trPr>
        <w:tc>
          <w:tcPr>
            <w:tcW w:w="3997"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2299901</w:t>
            </w:r>
          </w:p>
        </w:tc>
        <w:tc>
          <w:tcPr>
            <w:tcW w:w="3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157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548"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8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84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14"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7945"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注：1.本表依据《支出决算表》（财决04表）进行批复。</w:t>
            </w:r>
          </w:p>
        </w:tc>
      </w:tr>
      <w:tr>
        <w:tblPrEx>
          <w:tblCellMar>
            <w:top w:w="0" w:type="dxa"/>
            <w:left w:w="0" w:type="dxa"/>
            <w:bottom w:w="0" w:type="dxa"/>
            <w:right w:w="0" w:type="dxa"/>
          </w:tblCellMar>
        </w:tblPrEx>
        <w:trPr>
          <w:trHeight w:val="308" w:hRule="atLeast"/>
        </w:trPr>
        <w:tc>
          <w:tcPr>
            <w:tcW w:w="17945"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2.本表含政府性基金预算财政拨款。</w:t>
            </w:r>
          </w:p>
        </w:tc>
      </w:tr>
      <w:tr>
        <w:tblPrEx>
          <w:tblCellMar>
            <w:top w:w="0" w:type="dxa"/>
            <w:left w:w="0" w:type="dxa"/>
            <w:bottom w:w="0" w:type="dxa"/>
            <w:right w:w="0" w:type="dxa"/>
          </w:tblCellMar>
        </w:tblPrEx>
        <w:trPr>
          <w:trHeight w:val="308" w:hRule="atLeast"/>
        </w:trPr>
        <w:tc>
          <w:tcPr>
            <w:tcW w:w="17945"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3.本表批复到项级科目。</w:t>
            </w:r>
          </w:p>
        </w:tc>
      </w:tr>
      <w:tr>
        <w:tblPrEx>
          <w:tblCellMar>
            <w:top w:w="0" w:type="dxa"/>
            <w:left w:w="0" w:type="dxa"/>
            <w:bottom w:w="0" w:type="dxa"/>
            <w:right w:w="0" w:type="dxa"/>
          </w:tblCellMar>
        </w:tblPrEx>
        <w:trPr>
          <w:trHeight w:val="308" w:hRule="atLeast"/>
        </w:trPr>
        <w:tc>
          <w:tcPr>
            <w:tcW w:w="17945"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4.本表以“万元”为金额单位（保留两位小数）。</w:t>
            </w:r>
          </w:p>
        </w:tc>
      </w:tr>
    </w:tbl>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tbl>
      <w:tblPr>
        <w:tblStyle w:val="5"/>
        <w:tblW w:w="13988" w:type="dxa"/>
        <w:tblInd w:w="0" w:type="dxa"/>
        <w:shd w:val="clear" w:color="auto" w:fill="auto"/>
        <w:tblLayout w:type="autofit"/>
        <w:tblCellMar>
          <w:top w:w="0" w:type="dxa"/>
          <w:left w:w="0" w:type="dxa"/>
          <w:bottom w:w="0" w:type="dxa"/>
          <w:right w:w="0" w:type="dxa"/>
        </w:tblCellMar>
      </w:tblPr>
      <w:tblGrid>
        <w:gridCol w:w="3230"/>
        <w:gridCol w:w="550"/>
        <w:gridCol w:w="1460"/>
        <w:gridCol w:w="3522"/>
        <w:gridCol w:w="496"/>
        <w:gridCol w:w="1617"/>
        <w:gridCol w:w="1617"/>
        <w:gridCol w:w="1617"/>
      </w:tblGrid>
      <w:tr>
        <w:tblPrEx>
          <w:shd w:val="clear" w:color="auto" w:fill="auto"/>
          <w:tblCellMar>
            <w:top w:w="0" w:type="dxa"/>
            <w:left w:w="0" w:type="dxa"/>
            <w:bottom w:w="0" w:type="dxa"/>
            <w:right w:w="0" w:type="dxa"/>
          </w:tblCellMar>
        </w:tblPrEx>
        <w:trPr>
          <w:trHeight w:val="390" w:hRule="atLeast"/>
        </w:trPr>
        <w:tc>
          <w:tcPr>
            <w:tcW w:w="3109"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55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5478" w:type="dxa"/>
            <w:gridSpan w:val="3"/>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财政拨款收入支出决算批复表</w:t>
            </w:r>
          </w:p>
        </w:tc>
        <w:tc>
          <w:tcPr>
            <w:tcW w:w="16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6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财决批复04表</w:t>
            </w:r>
          </w:p>
        </w:tc>
      </w:tr>
      <w:tr>
        <w:tblPrEx>
          <w:tblCellMar>
            <w:top w:w="0" w:type="dxa"/>
            <w:left w:w="0" w:type="dxa"/>
            <w:bottom w:w="0" w:type="dxa"/>
            <w:right w:w="0" w:type="dxa"/>
          </w:tblCellMar>
        </w:tblPrEx>
        <w:trPr>
          <w:trHeight w:val="255" w:hRule="atLeast"/>
        </w:trPr>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部门：新疆兵团第二师二十四团机关</w:t>
            </w: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08"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0" w:type="auto"/>
            <w:gridSpan w:val="5"/>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10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40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522"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1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61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r>
      <w:tr>
        <w:tblPrEx>
          <w:tblCellMar>
            <w:top w:w="0" w:type="dxa"/>
            <w:left w:w="0" w:type="dxa"/>
            <w:bottom w:w="0" w:type="dxa"/>
            <w:right w:w="0" w:type="dxa"/>
          </w:tblCellMar>
        </w:tblPrEx>
        <w:trPr>
          <w:trHeight w:val="615" w:hRule="atLeast"/>
        </w:trPr>
        <w:tc>
          <w:tcPr>
            <w:tcW w:w="310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22"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10,784,634.86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4,581,568.21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4,581,568.21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804,014.50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804,014.50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2,123,421.43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2,123,421.43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89,455.27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938,927.54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52,995.48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980,514.00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295,701.00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295,701.00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303,000.00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10,784,634.86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10,169,597.43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10,169,597.43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424,387.00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1,039,424.43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1,039,424.43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424,387.00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11,209,021.86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11,209,021.86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11,209,021.86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0" w:type="auto"/>
            <w:gridSpan w:val="8"/>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注：1.本表依据《财政拨款收入支出决算总表》（财决01-1表）进行批复。</w:t>
            </w: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2.本表以“万元”为金额单位（保留两位小数）。</w:t>
            </w:r>
          </w:p>
        </w:tc>
      </w:tr>
    </w:tbl>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tbl>
      <w:tblPr>
        <w:tblStyle w:val="5"/>
        <w:tblW w:w="16035" w:type="dxa"/>
        <w:tblInd w:w="-1068" w:type="dxa"/>
        <w:shd w:val="clear" w:color="auto" w:fill="auto"/>
        <w:tblLayout w:type="fixed"/>
        <w:tblCellMar>
          <w:top w:w="0" w:type="dxa"/>
          <w:left w:w="0" w:type="dxa"/>
          <w:bottom w:w="0" w:type="dxa"/>
          <w:right w:w="0" w:type="dxa"/>
        </w:tblCellMar>
      </w:tblPr>
      <w:tblGrid>
        <w:gridCol w:w="466"/>
        <w:gridCol w:w="375"/>
        <w:gridCol w:w="240"/>
        <w:gridCol w:w="900"/>
        <w:gridCol w:w="975"/>
        <w:gridCol w:w="480"/>
        <w:gridCol w:w="990"/>
        <w:gridCol w:w="1215"/>
        <w:gridCol w:w="1125"/>
        <w:gridCol w:w="1155"/>
        <w:gridCol w:w="1305"/>
        <w:gridCol w:w="1245"/>
        <w:gridCol w:w="1305"/>
        <w:gridCol w:w="1230"/>
        <w:gridCol w:w="1139"/>
        <w:gridCol w:w="1155"/>
        <w:gridCol w:w="735"/>
      </w:tblGrid>
      <w:tr>
        <w:tblPrEx>
          <w:shd w:val="clear" w:color="auto" w:fill="auto"/>
          <w:tblCellMar>
            <w:top w:w="0" w:type="dxa"/>
            <w:left w:w="0" w:type="dxa"/>
            <w:bottom w:w="0" w:type="dxa"/>
            <w:right w:w="0" w:type="dxa"/>
          </w:tblCellMar>
        </w:tblPrEx>
        <w:trPr>
          <w:trHeight w:val="437" w:hRule="atLeast"/>
        </w:trPr>
        <w:tc>
          <w:tcPr>
            <w:tcW w:w="466" w:type="dxa"/>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cs="Arial"/>
                <w:i w:val="0"/>
                <w:color w:val="000000"/>
                <w:sz w:val="20"/>
                <w:szCs w:val="20"/>
                <w:u w:val="none"/>
              </w:rPr>
            </w:pPr>
          </w:p>
        </w:tc>
        <w:tc>
          <w:tcPr>
            <w:tcW w:w="3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795" w:type="dxa"/>
            <w:gridSpan w:val="9"/>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一般公共预算财政拨款收入支出决算批复表</w:t>
            </w:r>
          </w:p>
        </w:tc>
        <w:tc>
          <w:tcPr>
            <w:tcW w:w="12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3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248" w:hRule="atLeast"/>
        </w:trPr>
        <w:tc>
          <w:tcPr>
            <w:tcW w:w="4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24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99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1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2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财决批复05表</w:t>
            </w:r>
          </w:p>
        </w:tc>
      </w:tr>
      <w:tr>
        <w:tblPrEx>
          <w:tblCellMar>
            <w:top w:w="0" w:type="dxa"/>
            <w:left w:w="0" w:type="dxa"/>
            <w:bottom w:w="0" w:type="dxa"/>
            <w:right w:w="0" w:type="dxa"/>
          </w:tblCellMar>
        </w:tblPrEx>
        <w:trPr>
          <w:trHeight w:val="319" w:hRule="atLeast"/>
        </w:trPr>
        <w:tc>
          <w:tcPr>
            <w:tcW w:w="3436" w:type="dxa"/>
            <w:gridSpan w:val="6"/>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部门：新疆兵团第二师二十四团机关</w:t>
            </w:r>
          </w:p>
        </w:tc>
        <w:tc>
          <w:tcPr>
            <w:tcW w:w="990"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1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2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15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0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4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305"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30" w:type="dxa"/>
            <w:tcBorders>
              <w:top w:val="nil"/>
              <w:left w:val="nil"/>
              <w:bottom w:val="single" w:color="auto" w:sz="4" w:space="0"/>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29" w:type="dxa"/>
            <w:gridSpan w:val="3"/>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08" w:hRule="atLeast"/>
        </w:trPr>
        <w:tc>
          <w:tcPr>
            <w:tcW w:w="1081" w:type="dxa"/>
            <w:gridSpan w:val="3"/>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244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年初结转和结余</w:t>
            </w:r>
          </w:p>
        </w:tc>
        <w:tc>
          <w:tcPr>
            <w:tcW w:w="349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本年收入</w:t>
            </w:r>
          </w:p>
        </w:tc>
        <w:tc>
          <w:tcPr>
            <w:tcW w:w="3855"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本年支出</w:t>
            </w:r>
          </w:p>
        </w:tc>
        <w:tc>
          <w:tcPr>
            <w:tcW w:w="4259"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1081"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8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基本支出结转</w:t>
            </w:r>
          </w:p>
        </w:tc>
        <w:tc>
          <w:tcPr>
            <w:tcW w:w="99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项目支出结转和结余</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139"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基本支出结转</w:t>
            </w:r>
          </w:p>
        </w:tc>
        <w:tc>
          <w:tcPr>
            <w:tcW w:w="1890"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项目支出结转和结余</w:t>
            </w:r>
          </w:p>
        </w:tc>
      </w:tr>
      <w:tr>
        <w:tblPrEx>
          <w:tblCellMar>
            <w:top w:w="0" w:type="dxa"/>
            <w:left w:w="0" w:type="dxa"/>
            <w:bottom w:w="0" w:type="dxa"/>
            <w:right w:w="0" w:type="dxa"/>
          </w:tblCellMar>
        </w:tblPrEx>
        <w:trPr>
          <w:trHeight w:val="277" w:hRule="atLeast"/>
        </w:trPr>
        <w:tc>
          <w:tcPr>
            <w:tcW w:w="1081"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项目支出结转</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项目支出结余</w:t>
            </w:r>
          </w:p>
        </w:tc>
      </w:tr>
      <w:tr>
        <w:tblPrEx>
          <w:tblCellMar>
            <w:top w:w="0" w:type="dxa"/>
            <w:left w:w="0" w:type="dxa"/>
            <w:bottom w:w="0" w:type="dxa"/>
            <w:right w:w="0" w:type="dxa"/>
          </w:tblCellMar>
        </w:tblPrEx>
        <w:trPr>
          <w:trHeight w:val="537" w:hRule="atLeast"/>
        </w:trPr>
        <w:tc>
          <w:tcPr>
            <w:tcW w:w="1081" w:type="dxa"/>
            <w:gridSpan w:val="3"/>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9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7" w:hRule="atLeast"/>
        </w:trPr>
        <w:tc>
          <w:tcPr>
            <w:tcW w:w="46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37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款</w:t>
            </w:r>
          </w:p>
        </w:tc>
        <w:tc>
          <w:tcPr>
            <w:tcW w:w="24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r>
      <w:tr>
        <w:tblPrEx>
          <w:tblCellMar>
            <w:top w:w="0" w:type="dxa"/>
            <w:left w:w="0" w:type="dxa"/>
            <w:bottom w:w="0" w:type="dxa"/>
            <w:right w:w="0" w:type="dxa"/>
          </w:tblCellMar>
        </w:tblPrEx>
        <w:trPr>
          <w:trHeight w:val="422" w:hRule="atLeast"/>
        </w:trPr>
        <w:tc>
          <w:tcPr>
            <w:tcW w:w="46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4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424,387.00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424,387.00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10,784,634.86</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6,499,837.55</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4,284,797.31</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10,169,597.43</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6,499,549.55</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3,670,047.88</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1,039,424.43</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288.00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1,039,136.43</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151,387.00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151,387.00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4,832,535.29</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3,908,295.29</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924,240.00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4,581,568.21</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3,908,007.29</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673,560.92</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402,354.08</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402,066.08</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1017"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15,601.00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15,601.00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3,988,295.29</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3,908,295.29</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3,945,134.21</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3,908,007.29</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37,126.92</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58,762.08</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58,474.08</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机关服务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3,918,295.29</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3,908,295.29</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3,918,007.29</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3,908,007.29</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信访事务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15,601.00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15,601.00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27,126.92</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27,126.92</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58,474.08</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58,474.08</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2010607</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信息化建设</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商贸事务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122,008.00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122,008.00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37,992.00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37,992.00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2011308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招商引资</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122,008.00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122,008.00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37,992.00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37,992.00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民族事务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2012399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其他民族事务支出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2012602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135,786.00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群众团体事务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474,680.00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474,680.00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307,530.00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307,530.00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167,150.00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167,150.00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2012902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2012999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其他群众团体事务支出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429,080.00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429,080.00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265,930.00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265,930.00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163,150.00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163,150.00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49,750.00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49,750.00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90"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3"/>
                <w:szCs w:val="13"/>
                <w:u w:val="none"/>
                <w:lang w:val="en-US" w:eastAsia="zh-CN" w:bidi="ar"/>
              </w:rPr>
              <w:t>其他党委办公厅（室）及相关机构事务支出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49,750.00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49,750.00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其他共产党事务支出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2013699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其他共产党事务支出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其他一般公共服务支出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2019999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其他一般公共服务支出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36,600.00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36,600.00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925,710.00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925,710.00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804,014.50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804,014.50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121,695.50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121,695.50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其他教育支出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925,710.00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925,710.00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804,014.50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804,014.50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121,695.50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121,695.50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2059999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其他教育支出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925,710.00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925,710.00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804,014.50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804,014.50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121,695.50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121,695.50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2,171,453.39</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1,521,572.99</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649,880.40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2,123,421.43</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1,521,572.99</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601,848.44</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48,031.96</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48,031.96</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2,000,723.39</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1,521,572.99</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479,150.40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1,952,691.43</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1,521,572.99</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431,118.44</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48,031.96</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48,031.96</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89,950.40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89,950.40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89,950.40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89,950.40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1,298,654.53</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1,298,654.53</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1,298,654.53</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1,298,654.53</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222,918.46</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222,918.46</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222,918.46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222,918.46</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其他行政事业单位离退休支出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389,200.00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389,200.00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341,168.04</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341,168.04</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48,031.96</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48,031.96</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170,730.00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3"/>
                <w:szCs w:val="13"/>
                <w:u w:val="none"/>
                <w:lang w:val="en-US" w:eastAsia="zh-CN" w:bidi="ar"/>
              </w:rPr>
              <w:t>行政单位医疗</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89,455.27</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城乡社区支出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1,170,537.95</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1,170,537.95</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938,927.54</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938,927.54</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231,610.41</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231,610.41</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城乡社区管理事务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1,170,537.95</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1,170,537.95</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938,927.54</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938,927.54</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231,610.41</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231,610.41</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2120199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其他城乡社区管理事务支出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1,170,537.95</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1,170,537.95</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938,927.54</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938,927.54</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231,610.41</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231,610.41</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79,428.96</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79,428.96</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52,995.48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52,995.48</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26,433.48</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26,433.48</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79,428.96</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79,428.96</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52,995.48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52,995.48</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26,433.48</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26,433.48</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2130152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对高校毕业生到基层任职补助</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79,428.96</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79,428.96</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52,995.48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52,995.48</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26,433.48</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26,433.48</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980,514.00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681"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灾害防治及应急管理支出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295,701.00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295,701.00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209,299.00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209,299.00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kern w:val="0"/>
                <w:sz w:val="13"/>
                <w:szCs w:val="13"/>
                <w:u w:val="none"/>
                <w:lang w:val="en-US" w:eastAsia="zh-CN" w:bidi="ar"/>
              </w:rPr>
              <w:t>应急管理事务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290,701.00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290,701.00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209,299.00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209,299.00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2240106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安全监管</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290,701.00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290,701.00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209,299.00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209,299.00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自然灾害防治</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2240699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5"/>
                <w:szCs w:val="15"/>
                <w:u w:val="none"/>
                <w:lang w:val="en-US" w:eastAsia="zh-CN" w:bidi="ar"/>
              </w:rPr>
              <w:t>其他自然灾害防治支出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273,000.00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273,000.00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273,000.00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273,000.00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081"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2299901</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97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273,000.00</w:t>
            </w:r>
          </w:p>
        </w:tc>
        <w:tc>
          <w:tcPr>
            <w:tcW w:w="48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273,000.00</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12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303,000.00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0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303,000.00</w:t>
            </w:r>
          </w:p>
        </w:tc>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3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3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308" w:hRule="atLeast"/>
        </w:trPr>
        <w:tc>
          <w:tcPr>
            <w:tcW w:w="16035" w:type="dxa"/>
            <w:gridSpan w:val="17"/>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注：1.本表依据《一般公共预算财政拨款收入支出决算表》（财决07表）进行批复。</w:t>
            </w:r>
          </w:p>
        </w:tc>
      </w:tr>
      <w:tr>
        <w:tblPrEx>
          <w:tblCellMar>
            <w:top w:w="0" w:type="dxa"/>
            <w:left w:w="0" w:type="dxa"/>
            <w:bottom w:w="0" w:type="dxa"/>
            <w:right w:w="0" w:type="dxa"/>
          </w:tblCellMar>
        </w:tblPrEx>
        <w:trPr>
          <w:trHeight w:val="308" w:hRule="atLeast"/>
        </w:trPr>
        <w:tc>
          <w:tcPr>
            <w:tcW w:w="16035"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2.本表批复到项级科目。</w:t>
            </w:r>
          </w:p>
        </w:tc>
      </w:tr>
      <w:tr>
        <w:tblPrEx>
          <w:tblCellMar>
            <w:top w:w="0" w:type="dxa"/>
            <w:left w:w="0" w:type="dxa"/>
            <w:bottom w:w="0" w:type="dxa"/>
            <w:right w:w="0" w:type="dxa"/>
          </w:tblCellMar>
        </w:tblPrEx>
        <w:trPr>
          <w:trHeight w:val="308" w:hRule="atLeast"/>
        </w:trPr>
        <w:tc>
          <w:tcPr>
            <w:tcW w:w="16035"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3.本表以“万元”为金额单位（保留两位小数）。</w:t>
            </w:r>
          </w:p>
        </w:tc>
      </w:tr>
    </w:tbl>
    <w:p>
      <w:pPr>
        <w:widowControl/>
        <w:ind w:left="-420" w:leftChars="-200" w:right="-1382" w:rightChars="-658" w:firstLine="0" w:firstLineChars="0"/>
        <w:jc w:val="left"/>
        <w:rPr>
          <w:rFonts w:ascii="楷体_GB2312" w:hAnsi="楷体_GB2312" w:eastAsia="楷体_GB2312" w:cs="楷体_GB2312"/>
          <w:color w:val="000000"/>
          <w:kern w:val="0"/>
          <w:sz w:val="32"/>
          <w:szCs w:val="32"/>
        </w:rPr>
      </w:pPr>
      <w:r>
        <w:drawing>
          <wp:inline distT="0" distB="0" distL="114300" distR="114300">
            <wp:extent cx="9696450" cy="6076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696450" cy="6076950"/>
                    </a:xfrm>
                    <a:prstGeom prst="rect">
                      <a:avLst/>
                    </a:prstGeom>
                    <a:noFill/>
                    <a:ln>
                      <a:noFill/>
                    </a:ln>
                  </pic:spPr>
                </pic:pic>
              </a:graphicData>
            </a:graphic>
          </wp:inline>
        </w:drawing>
      </w: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tbl>
      <w:tblPr>
        <w:tblStyle w:val="5"/>
        <w:tblW w:w="14668" w:type="dxa"/>
        <w:jc w:val="center"/>
        <w:tblLayout w:type="fixed"/>
        <w:tblCellMar>
          <w:top w:w="0" w:type="dxa"/>
          <w:left w:w="0" w:type="dxa"/>
          <w:bottom w:w="0" w:type="dxa"/>
          <w:right w:w="0" w:type="dxa"/>
        </w:tblCellMar>
      </w:tblPr>
      <w:tblGrid>
        <w:gridCol w:w="1092"/>
        <w:gridCol w:w="1234"/>
        <w:gridCol w:w="1234"/>
        <w:gridCol w:w="1234"/>
        <w:gridCol w:w="1234"/>
        <w:gridCol w:w="1234"/>
        <w:gridCol w:w="1234"/>
        <w:gridCol w:w="1234"/>
        <w:gridCol w:w="1234"/>
        <w:gridCol w:w="1234"/>
        <w:gridCol w:w="1234"/>
        <w:gridCol w:w="1236"/>
      </w:tblGrid>
      <w:tr>
        <w:tblPrEx>
          <w:tblCellMar>
            <w:top w:w="0" w:type="dxa"/>
            <w:left w:w="0" w:type="dxa"/>
            <w:bottom w:w="0" w:type="dxa"/>
            <w:right w:w="0" w:type="dxa"/>
          </w:tblCellMar>
        </w:tblPrEx>
        <w:trPr>
          <w:trHeight w:val="600" w:hRule="atLeast"/>
          <w:jc w:val="center"/>
        </w:trPr>
        <w:tc>
          <w:tcPr>
            <w:tcW w:w="14668" w:type="dxa"/>
            <w:gridSpan w:val="12"/>
            <w:tcBorders>
              <w:top w:val="nil"/>
              <w:left w:val="nil"/>
              <w:bottom w:val="nil"/>
              <w:right w:val="nil"/>
            </w:tcBorders>
            <w:shd w:val="clear" w:color="auto" w:fill="FFFFFF"/>
            <w:tcMar>
              <w:top w:w="11" w:type="dxa"/>
              <w:left w:w="11" w:type="dxa"/>
              <w:right w:w="11"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jc w:val="center"/>
        </w:trPr>
        <w:tc>
          <w:tcPr>
            <w:tcW w:w="1092"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6" w:type="dxa"/>
            <w:tcBorders>
              <w:top w:val="nil"/>
              <w:left w:val="nil"/>
              <w:bottom w:val="nil"/>
              <w:right w:val="nil"/>
            </w:tcBorders>
            <w:shd w:val="clear" w:color="auto" w:fill="FFFFFF"/>
            <w:noWrap/>
            <w:tcMar>
              <w:top w:w="11" w:type="dxa"/>
              <w:left w:w="11" w:type="dxa"/>
              <w:right w:w="11"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00" w:hRule="atLeast"/>
          <w:jc w:val="center"/>
        </w:trPr>
        <w:tc>
          <w:tcPr>
            <w:tcW w:w="1092" w:type="dxa"/>
            <w:tcBorders>
              <w:top w:val="nil"/>
              <w:left w:val="nil"/>
              <w:bottom w:val="nil"/>
              <w:right w:val="nil"/>
            </w:tcBorders>
            <w:shd w:val="clear" w:color="auto" w:fill="FFFFFF"/>
            <w:noWrap/>
            <w:tcMar>
              <w:top w:w="11" w:type="dxa"/>
              <w:left w:w="11" w:type="dxa"/>
              <w:right w:w="11"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w:t>
            </w: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single" w:color="000000" w:sz="8" w:space="0"/>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4" w:type="dxa"/>
            <w:tcBorders>
              <w:top w:val="nil"/>
              <w:left w:val="nil"/>
              <w:bottom w:val="nil"/>
              <w:right w:val="nil"/>
            </w:tcBorders>
            <w:shd w:val="clear" w:color="auto" w:fill="FFFFFF"/>
            <w:tcMar>
              <w:top w:w="11" w:type="dxa"/>
              <w:left w:w="11" w:type="dxa"/>
              <w:right w:w="11" w:type="dxa"/>
            </w:tcMar>
            <w:vAlign w:val="center"/>
          </w:tcPr>
          <w:p>
            <w:pPr>
              <w:rPr>
                <w:rFonts w:ascii="宋体" w:hAnsi="宋体" w:eastAsia="宋体" w:cs="宋体"/>
                <w:color w:val="000000"/>
                <w:sz w:val="20"/>
                <w:szCs w:val="20"/>
              </w:rPr>
            </w:pPr>
          </w:p>
        </w:tc>
        <w:tc>
          <w:tcPr>
            <w:tcW w:w="1236" w:type="dxa"/>
            <w:tcBorders>
              <w:top w:val="nil"/>
              <w:left w:val="nil"/>
              <w:bottom w:val="nil"/>
              <w:right w:val="nil"/>
            </w:tcBorders>
            <w:shd w:val="clear" w:color="auto" w:fill="FFFFFF"/>
            <w:noWrap/>
            <w:tcMar>
              <w:top w:w="11" w:type="dxa"/>
              <w:left w:w="11" w:type="dxa"/>
              <w:right w:w="11"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0" w:type="dxa"/>
            <w:bottom w:w="0" w:type="dxa"/>
            <w:right w:w="0" w:type="dxa"/>
          </w:tblCellMar>
        </w:tblPrEx>
        <w:trPr>
          <w:trHeight w:val="559" w:hRule="atLeast"/>
          <w:jc w:val="center"/>
        </w:trPr>
        <w:tc>
          <w:tcPr>
            <w:tcW w:w="7262" w:type="dxa"/>
            <w:gridSpan w:val="6"/>
            <w:tcBorders>
              <w:top w:val="single" w:color="000000" w:sz="8" w:space="0"/>
              <w:left w:val="single" w:color="000000" w:sz="8"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c>
          <w:tcPr>
            <w:tcW w:w="7406" w:type="dxa"/>
            <w:gridSpan w:val="6"/>
            <w:tcBorders>
              <w:top w:val="single" w:color="000000" w:sz="8" w:space="0"/>
              <w:left w:val="single" w:color="000000" w:sz="4" w:space="0"/>
              <w:bottom w:val="single" w:color="000000" w:sz="4" w:space="0"/>
              <w:right w:val="single" w:color="000000" w:sz="8"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0" w:type="dxa"/>
            <w:bottom w:w="0" w:type="dxa"/>
            <w:right w:w="0" w:type="dxa"/>
          </w:tblCellMar>
        </w:tblPrEx>
        <w:trPr>
          <w:trHeight w:val="600" w:hRule="atLeast"/>
          <w:jc w:val="center"/>
        </w:trPr>
        <w:tc>
          <w:tcPr>
            <w:tcW w:w="1092" w:type="dxa"/>
            <w:vMerge w:val="restart"/>
            <w:tcBorders>
              <w:top w:val="single" w:color="000000" w:sz="4" w:space="0"/>
              <w:left w:val="single" w:color="000000" w:sz="8"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702" w:type="dxa"/>
            <w:gridSpan w:val="3"/>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c>
          <w:tcPr>
            <w:tcW w:w="1234" w:type="dxa"/>
            <w:vMerge w:val="restart"/>
            <w:tcBorders>
              <w:top w:val="single" w:color="000000" w:sz="4" w:space="0"/>
              <w:left w:val="nil"/>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3702" w:type="dxa"/>
            <w:gridSpan w:val="3"/>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236" w:type="dxa"/>
            <w:vMerge w:val="restart"/>
            <w:tcBorders>
              <w:top w:val="single" w:color="000000" w:sz="4" w:space="0"/>
              <w:left w:val="single" w:color="000000" w:sz="4" w:space="0"/>
              <w:bottom w:val="single" w:color="000000" w:sz="4" w:space="0"/>
              <w:right w:val="single" w:color="000000" w:sz="8"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0" w:type="dxa"/>
            <w:bottom w:w="0" w:type="dxa"/>
            <w:right w:w="0" w:type="dxa"/>
          </w:tblCellMar>
        </w:tblPrEx>
        <w:trPr>
          <w:trHeight w:val="600" w:hRule="atLeast"/>
          <w:jc w:val="center"/>
        </w:trPr>
        <w:tc>
          <w:tcPr>
            <w:tcW w:w="1092" w:type="dxa"/>
            <w:vMerge w:val="continue"/>
            <w:tcBorders>
              <w:top w:val="single" w:color="000000" w:sz="4" w:space="0"/>
              <w:left w:val="single" w:color="000000" w:sz="8" w:space="0"/>
              <w:bottom w:val="single" w:color="000000" w:sz="4" w:space="0"/>
              <w:right w:val="single" w:color="000000" w:sz="4" w:space="0"/>
            </w:tcBorders>
            <w:shd w:val="clear" w:color="auto" w:fill="auto"/>
            <w:tcMar>
              <w:top w:w="11" w:type="dxa"/>
              <w:left w:w="11" w:type="dxa"/>
              <w:right w:w="11" w:type="dxa"/>
            </w:tcMar>
            <w:vAlign w:val="center"/>
          </w:tcPr>
          <w:p>
            <w:pPr>
              <w:jc w:val="center"/>
              <w:rPr>
                <w:rFonts w:ascii="宋体" w:hAnsi="宋体" w:eastAsia="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jc w:val="center"/>
              <w:rPr>
                <w:rFonts w:ascii="宋体" w:hAnsi="宋体" w:eastAsia="宋体" w:cs="宋体"/>
                <w:color w:val="000000"/>
                <w:sz w:val="22"/>
                <w:szCs w:val="22"/>
              </w:rPr>
            </w:pPr>
          </w:p>
        </w:tc>
        <w:tc>
          <w:tcPr>
            <w:tcW w:w="1234" w:type="dxa"/>
            <w:tcBorders>
              <w:top w:val="nil"/>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34" w:type="dxa"/>
            <w:tcBorders>
              <w:top w:val="nil"/>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购置费</w:t>
            </w:r>
          </w:p>
        </w:tc>
        <w:tc>
          <w:tcPr>
            <w:tcW w:w="1234" w:type="dxa"/>
            <w:tcBorders>
              <w:top w:val="nil"/>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运行费</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jc w:val="center"/>
              <w:rPr>
                <w:rFonts w:ascii="宋体" w:hAnsi="宋体" w:eastAsia="宋体" w:cs="宋体"/>
                <w:color w:val="000000"/>
                <w:sz w:val="22"/>
                <w:szCs w:val="22"/>
              </w:rPr>
            </w:pPr>
          </w:p>
        </w:tc>
        <w:tc>
          <w:tcPr>
            <w:tcW w:w="1234" w:type="dxa"/>
            <w:vMerge w:val="continue"/>
            <w:tcBorders>
              <w:top w:val="single" w:color="000000" w:sz="4" w:space="0"/>
              <w:left w:val="nil"/>
              <w:bottom w:val="single" w:color="000000" w:sz="4" w:space="0"/>
              <w:right w:val="single" w:color="000000" w:sz="4" w:space="0"/>
            </w:tcBorders>
            <w:shd w:val="clear" w:color="auto" w:fill="auto"/>
            <w:tcMar>
              <w:top w:w="11" w:type="dxa"/>
              <w:left w:w="11" w:type="dxa"/>
              <w:right w:w="11" w:type="dxa"/>
            </w:tcMar>
            <w:vAlign w:val="center"/>
          </w:tcPr>
          <w:p>
            <w:pPr>
              <w:jc w:val="center"/>
              <w:rPr>
                <w:rFonts w:ascii="宋体" w:hAnsi="宋体" w:eastAsia="宋体" w:cs="宋体"/>
                <w:color w:val="000000"/>
                <w:sz w:val="22"/>
                <w:szCs w:val="22"/>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jc w:val="center"/>
              <w:rPr>
                <w:rFonts w:ascii="宋体" w:hAnsi="宋体" w:eastAsia="宋体" w:cs="宋体"/>
                <w:color w:val="000000"/>
                <w:sz w:val="22"/>
                <w:szCs w:val="22"/>
              </w:rPr>
            </w:pPr>
          </w:p>
        </w:tc>
        <w:tc>
          <w:tcPr>
            <w:tcW w:w="1234" w:type="dxa"/>
            <w:tcBorders>
              <w:top w:val="nil"/>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34" w:type="dxa"/>
            <w:tcBorders>
              <w:top w:val="nil"/>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购置费</w:t>
            </w:r>
          </w:p>
        </w:tc>
        <w:tc>
          <w:tcPr>
            <w:tcW w:w="1234" w:type="dxa"/>
            <w:tcBorders>
              <w:top w:val="nil"/>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运行费</w:t>
            </w:r>
          </w:p>
        </w:tc>
        <w:tc>
          <w:tcPr>
            <w:tcW w:w="1236" w:type="dxa"/>
            <w:vMerge w:val="continue"/>
            <w:tcBorders>
              <w:top w:val="single" w:color="000000" w:sz="4" w:space="0"/>
              <w:left w:val="single" w:color="000000" w:sz="4" w:space="0"/>
              <w:bottom w:val="single" w:color="000000" w:sz="4" w:space="0"/>
              <w:right w:val="single" w:color="000000" w:sz="8" w:space="0"/>
            </w:tcBorders>
            <w:shd w:val="clear" w:color="auto" w:fill="auto"/>
            <w:tcMar>
              <w:top w:w="11" w:type="dxa"/>
              <w:left w:w="11" w:type="dxa"/>
              <w:right w:w="11"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59" w:hRule="atLeast"/>
          <w:jc w:val="center"/>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236" w:type="dxa"/>
            <w:tcBorders>
              <w:top w:val="single" w:color="000000" w:sz="4" w:space="0"/>
              <w:left w:val="single" w:color="000000" w:sz="4" w:space="0"/>
              <w:bottom w:val="single" w:color="000000" w:sz="4" w:space="0"/>
              <w:right w:val="single" w:color="000000" w:sz="8" w:space="0"/>
            </w:tcBorders>
            <w:shd w:val="clear" w:color="auto" w:fill="auto"/>
            <w:tcMar>
              <w:top w:w="11" w:type="dxa"/>
              <w:left w:w="11" w:type="dxa"/>
              <w:right w:w="11"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0" w:type="dxa"/>
            <w:bottom w:w="0" w:type="dxa"/>
            <w:right w:w="0" w:type="dxa"/>
          </w:tblCellMar>
        </w:tblPrEx>
        <w:trPr>
          <w:trHeight w:val="855" w:hRule="atLeast"/>
          <w:jc w:val="center"/>
        </w:trPr>
        <w:tc>
          <w:tcPr>
            <w:tcW w:w="1092" w:type="dxa"/>
            <w:tcBorders>
              <w:top w:val="single" w:color="000000" w:sz="4" w:space="0"/>
              <w:left w:val="single" w:color="000000" w:sz="8"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67</w:t>
            </w: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35</w:t>
            </w: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66.8</w:t>
            </w: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p>
        </w:tc>
        <w:tc>
          <w:tcPr>
            <w:tcW w:w="1234" w:type="dxa"/>
            <w:tcBorders>
              <w:top w:val="single" w:color="000000" w:sz="4" w:space="0"/>
              <w:left w:val="single" w:color="000000" w:sz="4" w:space="0"/>
              <w:bottom w:val="single" w:color="000000" w:sz="8" w:space="0"/>
              <w:right w:val="single" w:color="000000" w:sz="4"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p>
        </w:tc>
        <w:tc>
          <w:tcPr>
            <w:tcW w:w="1234" w:type="dxa"/>
            <w:tcBorders>
              <w:top w:val="single" w:color="000000" w:sz="4" w:space="0"/>
              <w:left w:val="single" w:color="000000" w:sz="4" w:space="0"/>
              <w:bottom w:val="single" w:color="000000" w:sz="8" w:space="0"/>
              <w:right w:val="nil"/>
            </w:tcBorders>
            <w:shd w:val="clear" w:color="auto" w:fill="auto"/>
            <w:tcMar>
              <w:top w:w="11" w:type="dxa"/>
              <w:left w:w="11" w:type="dxa"/>
              <w:right w:w="11" w:type="dxa"/>
            </w:tcMar>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34.9</w:t>
            </w:r>
          </w:p>
        </w:tc>
        <w:tc>
          <w:tcPr>
            <w:tcW w:w="1236" w:type="dxa"/>
            <w:tcBorders>
              <w:top w:val="single" w:color="000000" w:sz="4" w:space="0"/>
              <w:left w:val="single" w:color="000000" w:sz="4" w:space="0"/>
              <w:bottom w:val="single" w:color="000000" w:sz="8" w:space="0"/>
              <w:right w:val="single" w:color="000000" w:sz="8" w:space="0"/>
            </w:tcBorders>
            <w:shd w:val="clear" w:color="auto" w:fill="auto"/>
            <w:tcMar>
              <w:top w:w="11" w:type="dxa"/>
              <w:left w:w="11" w:type="dxa"/>
              <w:right w:w="11" w:type="dxa"/>
            </w:tcMar>
            <w:vAlign w:val="center"/>
          </w:tcPr>
          <w:p>
            <w:pPr>
              <w:rPr>
                <w:rFonts w:ascii="宋体" w:hAnsi="宋体" w:eastAsia="宋体" w:cs="宋体"/>
                <w:color w:val="000000"/>
                <w:sz w:val="22"/>
                <w:szCs w:val="22"/>
              </w:rPr>
            </w:pPr>
            <w:r>
              <w:rPr>
                <w:rFonts w:hint="eastAsia" w:ascii="宋体" w:hAnsi="宋体" w:eastAsia="宋体" w:cs="宋体"/>
                <w:color w:val="000000"/>
                <w:sz w:val="22"/>
                <w:szCs w:val="22"/>
              </w:rPr>
              <w:t>31.9</w:t>
            </w:r>
          </w:p>
        </w:tc>
      </w:tr>
      <w:tr>
        <w:tblPrEx>
          <w:tblCellMar>
            <w:top w:w="0" w:type="dxa"/>
            <w:left w:w="0" w:type="dxa"/>
            <w:bottom w:w="0" w:type="dxa"/>
            <w:right w:w="0" w:type="dxa"/>
          </w:tblCellMar>
        </w:tblPrEx>
        <w:trPr>
          <w:trHeight w:val="900" w:hRule="atLeast"/>
          <w:jc w:val="center"/>
        </w:trPr>
        <w:tc>
          <w:tcPr>
            <w:tcW w:w="14668" w:type="dxa"/>
            <w:gridSpan w:val="12"/>
            <w:tcBorders>
              <w:top w:val="single" w:color="000000" w:sz="8" w:space="0"/>
              <w:left w:val="nil"/>
              <w:bottom w:val="nil"/>
              <w:right w:val="nil"/>
            </w:tcBorders>
            <w:shd w:val="clear" w:color="auto" w:fill="auto"/>
            <w:tcMar>
              <w:top w:w="11" w:type="dxa"/>
              <w:left w:w="11" w:type="dxa"/>
              <w:right w:w="11"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注：本表反映部门本年度“三公”经费支出预决算情况。其中，预算数为“三公”经费年初预算数，决算数是包括当年一般公共预算财政拨款和以前年度结转资金安排的实际支出。</w:t>
            </w:r>
          </w:p>
        </w:tc>
      </w:tr>
    </w:tbl>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pPr>
    </w:p>
    <w:tbl>
      <w:tblPr>
        <w:tblStyle w:val="5"/>
        <w:tblpPr w:leftFromText="180" w:rightFromText="180" w:vertAnchor="text" w:horzAnchor="page" w:tblpX="223" w:tblpY="594"/>
        <w:tblOverlap w:val="never"/>
        <w:tblW w:w="16080" w:type="dxa"/>
        <w:tblInd w:w="0" w:type="dxa"/>
        <w:shd w:val="clear" w:color="auto" w:fill="auto"/>
        <w:tblLayout w:type="fixed"/>
        <w:tblCellMar>
          <w:top w:w="0" w:type="dxa"/>
          <w:left w:w="0" w:type="dxa"/>
          <w:bottom w:w="0" w:type="dxa"/>
          <w:right w:w="0" w:type="dxa"/>
        </w:tblCellMar>
      </w:tblPr>
      <w:tblGrid>
        <w:gridCol w:w="2083"/>
        <w:gridCol w:w="435"/>
        <w:gridCol w:w="300"/>
        <w:gridCol w:w="3109"/>
        <w:gridCol w:w="737"/>
        <w:gridCol w:w="825"/>
        <w:gridCol w:w="766"/>
        <w:gridCol w:w="766"/>
        <w:gridCol w:w="855"/>
        <w:gridCol w:w="737"/>
        <w:gridCol w:w="781"/>
        <w:gridCol w:w="796"/>
        <w:gridCol w:w="737"/>
        <w:gridCol w:w="796"/>
        <w:gridCol w:w="722"/>
        <w:gridCol w:w="855"/>
        <w:gridCol w:w="780"/>
      </w:tblGrid>
      <w:tr>
        <w:tblPrEx>
          <w:shd w:val="clear" w:color="auto" w:fill="auto"/>
          <w:tblCellMar>
            <w:top w:w="0" w:type="dxa"/>
            <w:left w:w="0" w:type="dxa"/>
            <w:bottom w:w="0" w:type="dxa"/>
            <w:right w:w="0" w:type="dxa"/>
          </w:tblCellMar>
        </w:tblPrEx>
        <w:trPr>
          <w:trHeight w:val="390" w:hRule="atLeast"/>
        </w:trPr>
        <w:tc>
          <w:tcPr>
            <w:tcW w:w="14445" w:type="dxa"/>
            <w:gridSpan w:val="15"/>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政府性基金预算财政拨款收入支出决算批复表</w:t>
            </w:r>
          </w:p>
        </w:tc>
        <w:tc>
          <w:tcPr>
            <w:tcW w:w="8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8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r>
      <w:tr>
        <w:tblPrEx>
          <w:tblCellMar>
            <w:top w:w="0" w:type="dxa"/>
            <w:left w:w="0" w:type="dxa"/>
            <w:bottom w:w="0" w:type="dxa"/>
            <w:right w:w="0" w:type="dxa"/>
          </w:tblCellMar>
        </w:tblPrEx>
        <w:trPr>
          <w:trHeight w:val="255" w:hRule="atLeast"/>
        </w:trPr>
        <w:tc>
          <w:tcPr>
            <w:tcW w:w="208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1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财决批复07表</w:t>
            </w:r>
          </w:p>
        </w:tc>
      </w:tr>
      <w:tr>
        <w:tblPrEx>
          <w:tblCellMar>
            <w:top w:w="0" w:type="dxa"/>
            <w:left w:w="0" w:type="dxa"/>
            <w:bottom w:w="0" w:type="dxa"/>
            <w:right w:w="0" w:type="dxa"/>
          </w:tblCellMar>
        </w:tblPrEx>
        <w:trPr>
          <w:trHeight w:val="255" w:hRule="atLeast"/>
        </w:trPr>
        <w:tc>
          <w:tcPr>
            <w:tcW w:w="208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部门：新疆兵团第二师二十四团机关</w:t>
            </w:r>
          </w:p>
        </w:tc>
        <w:tc>
          <w:tcPr>
            <w:tcW w:w="43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31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6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5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78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tblPrEx>
          <w:tblCellMar>
            <w:top w:w="0" w:type="dxa"/>
            <w:left w:w="0" w:type="dxa"/>
            <w:bottom w:w="0" w:type="dxa"/>
            <w:right w:w="0" w:type="dxa"/>
          </w:tblCellMar>
        </w:tblPrEx>
        <w:trPr>
          <w:trHeight w:val="308" w:hRule="atLeast"/>
        </w:trPr>
        <w:tc>
          <w:tcPr>
            <w:tcW w:w="2818"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109"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2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2358"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31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3153" w:type="dxa"/>
            <w:gridSpan w:val="4"/>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2818"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0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2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76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c>
          <w:tcPr>
            <w:tcW w:w="76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3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7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3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7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2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基本支出结转</w:t>
            </w:r>
          </w:p>
        </w:tc>
        <w:tc>
          <w:tcPr>
            <w:tcW w:w="1635"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项目支出结转和结余</w:t>
            </w:r>
          </w:p>
        </w:tc>
      </w:tr>
      <w:tr>
        <w:tblPrEx>
          <w:tblCellMar>
            <w:top w:w="0" w:type="dxa"/>
            <w:left w:w="0" w:type="dxa"/>
            <w:bottom w:w="0" w:type="dxa"/>
            <w:right w:w="0" w:type="dxa"/>
          </w:tblCellMar>
        </w:tblPrEx>
        <w:trPr>
          <w:trHeight w:val="308" w:hRule="atLeast"/>
        </w:trPr>
        <w:tc>
          <w:tcPr>
            <w:tcW w:w="2818"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0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项目支出结转</w:t>
            </w:r>
          </w:p>
        </w:tc>
        <w:tc>
          <w:tcPr>
            <w:tcW w:w="7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项目支出结余</w:t>
            </w:r>
          </w:p>
        </w:tc>
      </w:tr>
      <w:tr>
        <w:tblPrEx>
          <w:tblCellMar>
            <w:top w:w="0" w:type="dxa"/>
            <w:left w:w="0" w:type="dxa"/>
            <w:bottom w:w="0" w:type="dxa"/>
            <w:right w:w="0" w:type="dxa"/>
          </w:tblCellMar>
        </w:tblPrEx>
        <w:trPr>
          <w:trHeight w:val="615" w:hRule="atLeast"/>
        </w:trPr>
        <w:tc>
          <w:tcPr>
            <w:tcW w:w="2818"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09"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08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4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3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1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3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3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3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9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5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tblCellMar>
            <w:top w:w="0" w:type="dxa"/>
            <w:left w:w="0" w:type="dxa"/>
            <w:bottom w:w="0" w:type="dxa"/>
            <w:right w:w="0" w:type="dxa"/>
          </w:tblCellMar>
        </w:tblPrEx>
        <w:trPr>
          <w:trHeight w:val="308" w:hRule="atLeast"/>
        </w:trPr>
        <w:tc>
          <w:tcPr>
            <w:tcW w:w="208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3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281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81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81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81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81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818"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1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608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注：1.本表依据《政府性基金预算财政拨款收入支出决算表》（财决09表）进行批复。</w:t>
            </w:r>
          </w:p>
        </w:tc>
      </w:tr>
      <w:tr>
        <w:tblPrEx>
          <w:tblCellMar>
            <w:top w:w="0" w:type="dxa"/>
            <w:left w:w="0" w:type="dxa"/>
            <w:bottom w:w="0" w:type="dxa"/>
            <w:right w:w="0" w:type="dxa"/>
          </w:tblCellMar>
        </w:tblPrEx>
        <w:trPr>
          <w:trHeight w:val="308" w:hRule="atLeast"/>
        </w:trPr>
        <w:tc>
          <w:tcPr>
            <w:tcW w:w="1608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2.本表批复到项级科目。</w:t>
            </w:r>
          </w:p>
        </w:tc>
      </w:tr>
      <w:tr>
        <w:tblPrEx>
          <w:tblCellMar>
            <w:top w:w="0" w:type="dxa"/>
            <w:left w:w="0" w:type="dxa"/>
            <w:bottom w:w="0" w:type="dxa"/>
            <w:right w:w="0" w:type="dxa"/>
          </w:tblCellMar>
        </w:tblPrEx>
        <w:trPr>
          <w:trHeight w:val="308" w:hRule="atLeast"/>
        </w:trPr>
        <w:tc>
          <w:tcPr>
            <w:tcW w:w="16080"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3.本表以“万元”为金额单位（保留两位小数）。</w:t>
            </w:r>
          </w:p>
        </w:tc>
      </w:tr>
    </w:tbl>
    <w:p>
      <w:pPr>
        <w:widowControl/>
        <w:jc w:val="left"/>
        <w:rPr>
          <w:rFonts w:ascii="楷体_GB2312" w:hAnsi="楷体_GB2312" w:eastAsia="楷体_GB2312" w:cs="楷体_GB2312"/>
          <w:color w:val="000000"/>
          <w:kern w:val="0"/>
          <w:sz w:val="32"/>
          <w:szCs w:val="32"/>
        </w:rPr>
      </w:pPr>
    </w:p>
    <w:p>
      <w:pPr>
        <w:widowControl/>
        <w:jc w:val="left"/>
        <w:rPr>
          <w:rFonts w:ascii="楷体_GB2312" w:hAnsi="楷体_GB2312" w:eastAsia="楷体_GB2312" w:cs="楷体_GB2312"/>
          <w:color w:val="000000"/>
          <w:kern w:val="0"/>
          <w:sz w:val="32"/>
          <w:szCs w:val="32"/>
        </w:rPr>
        <w:sectPr>
          <w:pgSz w:w="16838" w:h="11906" w:orient="landscape"/>
          <w:pgMar w:top="1400" w:right="258" w:bottom="563" w:left="1460" w:header="851" w:footer="992" w:gutter="0"/>
          <w:cols w:space="425" w:num="1"/>
          <w:docGrid w:type="lines" w:linePitch="312" w:charSpace="0"/>
        </w:sectPr>
      </w:pPr>
    </w:p>
    <w:p>
      <w:pPr>
        <w:widowControl/>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第三部分 201</w:t>
      </w:r>
      <w:r>
        <w:rPr>
          <w:rFonts w:hint="eastAsia" w:ascii="黑体" w:hAnsi="黑体" w:eastAsia="黑体" w:cs="黑体"/>
          <w:color w:val="000000"/>
          <w:kern w:val="0"/>
          <w:sz w:val="32"/>
          <w:szCs w:val="32"/>
          <w:lang w:val="en-US" w:eastAsia="zh-CN"/>
        </w:rPr>
        <w:t>9</w:t>
      </w:r>
      <w:r>
        <w:rPr>
          <w:rFonts w:hint="eastAsia" w:ascii="黑体" w:hAnsi="黑体" w:eastAsia="黑体" w:cs="黑体"/>
          <w:color w:val="000000"/>
          <w:kern w:val="0"/>
          <w:sz w:val="32"/>
          <w:szCs w:val="32"/>
        </w:rPr>
        <w:t xml:space="preserve"> 年度部门决算情况说明</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一、部门收支总体情况</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（一）部门收入支出决算总体情况说明</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9</w:t>
      </w:r>
      <w:r>
        <w:rPr>
          <w:rFonts w:hint="eastAsia" w:ascii="仿宋_GB2312" w:hAnsi="宋体" w:eastAsia="仿宋_GB2312" w:cs="仿宋_GB2312"/>
          <w:color w:val="000000"/>
          <w:kern w:val="0"/>
          <w:sz w:val="32"/>
          <w:szCs w:val="32"/>
        </w:rPr>
        <w:t>年度收入</w:t>
      </w:r>
      <w:r>
        <w:rPr>
          <w:rFonts w:hint="eastAsia" w:ascii="仿宋_GB2312" w:hAnsi="宋体" w:eastAsia="仿宋_GB2312" w:cs="仿宋_GB2312"/>
          <w:color w:val="000000"/>
          <w:kern w:val="0"/>
          <w:sz w:val="32"/>
          <w:szCs w:val="32"/>
          <w:lang w:val="en-US" w:eastAsia="zh-CN"/>
        </w:rPr>
        <w:t>1094.46</w:t>
      </w:r>
      <w:r>
        <w:rPr>
          <w:rFonts w:hint="eastAsia" w:ascii="仿宋_GB2312" w:hAnsi="宋体" w:eastAsia="仿宋_GB2312" w:cs="仿宋_GB2312"/>
          <w:color w:val="000000"/>
          <w:kern w:val="0"/>
          <w:sz w:val="32"/>
          <w:szCs w:val="32"/>
        </w:rPr>
        <w:t>万元,与上年相比，</w:t>
      </w:r>
      <w:r>
        <w:rPr>
          <w:rFonts w:hint="eastAsia" w:ascii="仿宋_GB2312" w:hAnsi="宋体" w:eastAsia="仿宋_GB2312" w:cs="仿宋_GB2312"/>
          <w:color w:val="000000"/>
          <w:kern w:val="0"/>
          <w:sz w:val="32"/>
          <w:szCs w:val="32"/>
          <w:lang w:eastAsia="zh-CN"/>
        </w:rPr>
        <w:t>增加</w:t>
      </w:r>
      <w:r>
        <w:rPr>
          <w:rFonts w:hint="eastAsia" w:ascii="仿宋_GB2312" w:hAnsi="宋体" w:eastAsia="仿宋_GB2312" w:cs="仿宋_GB2312"/>
          <w:color w:val="000000"/>
          <w:kern w:val="0"/>
          <w:sz w:val="32"/>
          <w:szCs w:val="32"/>
          <w:lang w:val="en-US" w:eastAsia="zh-CN"/>
        </w:rPr>
        <w:t>504.46</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增长</w:t>
      </w:r>
      <w:r>
        <w:rPr>
          <w:rFonts w:hint="eastAsia" w:ascii="仿宋_GB2312" w:hAnsi="宋体" w:eastAsia="仿宋_GB2312" w:cs="仿宋_GB2312"/>
          <w:color w:val="000000"/>
          <w:kern w:val="0"/>
          <w:sz w:val="32"/>
          <w:szCs w:val="32"/>
          <w:lang w:val="en-US" w:eastAsia="zh-CN"/>
        </w:rPr>
        <w:t>88.5</w:t>
      </w:r>
      <w:r>
        <w:rPr>
          <w:rFonts w:hint="eastAsia" w:ascii="仿宋_GB2312" w:hAnsi="宋体" w:eastAsia="仿宋_GB2312" w:cs="仿宋_GB2312"/>
          <w:color w:val="000000"/>
          <w:kern w:val="0"/>
          <w:sz w:val="32"/>
          <w:szCs w:val="32"/>
        </w:rPr>
        <w:t>%，增减变化主要原因是：团场机构改革做了相关预算调整；支出</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万元,与上年相比，</w:t>
      </w:r>
      <w:r>
        <w:rPr>
          <w:rFonts w:hint="eastAsia" w:ascii="仿宋_GB2312" w:hAnsi="宋体" w:eastAsia="仿宋_GB2312" w:cs="仿宋_GB2312"/>
          <w:color w:val="000000"/>
          <w:kern w:val="0"/>
          <w:sz w:val="32"/>
          <w:szCs w:val="32"/>
          <w:lang w:eastAsia="zh-CN"/>
        </w:rPr>
        <w:t>增加</w:t>
      </w:r>
      <w:r>
        <w:rPr>
          <w:rFonts w:hint="eastAsia" w:ascii="仿宋_GB2312" w:hAnsi="宋体" w:eastAsia="仿宋_GB2312" w:cs="仿宋_GB2312"/>
          <w:color w:val="000000"/>
          <w:kern w:val="0"/>
          <w:sz w:val="32"/>
          <w:szCs w:val="32"/>
          <w:lang w:val="en-US" w:eastAsia="zh-CN"/>
        </w:rPr>
        <w:t>493.54</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增长</w:t>
      </w:r>
      <w:r>
        <w:rPr>
          <w:rFonts w:hint="eastAsia" w:ascii="仿宋_GB2312" w:hAnsi="宋体" w:eastAsia="仿宋_GB2312" w:cs="仿宋_GB2312"/>
          <w:color w:val="000000"/>
          <w:kern w:val="0"/>
          <w:sz w:val="32"/>
          <w:szCs w:val="32"/>
          <w:lang w:val="en-US" w:eastAsia="zh-CN"/>
        </w:rPr>
        <w:t>93.56</w:t>
      </w:r>
      <w:r>
        <w:rPr>
          <w:rFonts w:hint="eastAsia" w:ascii="仿宋_GB2312" w:hAnsi="宋体" w:eastAsia="仿宋_GB2312" w:cs="仿宋_GB2312"/>
          <w:color w:val="000000"/>
          <w:kern w:val="0"/>
          <w:sz w:val="32"/>
          <w:szCs w:val="32"/>
        </w:rPr>
        <w:t xml:space="preserve"> %，增减变化主要原因是： 今年团场改革，人员变动较大，故支出变动较大；结转结余</w:t>
      </w:r>
      <w:r>
        <w:rPr>
          <w:rFonts w:hint="eastAsia" w:ascii="仿宋_GB2312" w:hAnsi="宋体" w:eastAsia="仿宋_GB2312" w:cs="仿宋_GB2312"/>
          <w:color w:val="000000"/>
          <w:kern w:val="0"/>
          <w:sz w:val="32"/>
          <w:szCs w:val="32"/>
          <w:lang w:val="en-US" w:eastAsia="zh-CN"/>
        </w:rPr>
        <w:t>115.86</w:t>
      </w:r>
      <w:r>
        <w:rPr>
          <w:rFonts w:hint="eastAsia" w:ascii="仿宋_GB2312" w:hAnsi="宋体" w:eastAsia="仿宋_GB2312" w:cs="仿宋_GB2312"/>
          <w:color w:val="000000"/>
          <w:kern w:val="0"/>
          <w:sz w:val="32"/>
          <w:szCs w:val="32"/>
        </w:rPr>
        <w:t>万元，与上年相比，增加</w:t>
      </w:r>
      <w:r>
        <w:rPr>
          <w:rFonts w:hint="eastAsia" w:ascii="仿宋_GB2312" w:hAnsi="宋体" w:eastAsia="仿宋_GB2312" w:cs="仿宋_GB2312"/>
          <w:color w:val="000000"/>
          <w:kern w:val="0"/>
          <w:sz w:val="32"/>
          <w:szCs w:val="32"/>
          <w:lang w:val="en-US" w:eastAsia="zh-CN"/>
        </w:rPr>
        <w:t>73.46</w:t>
      </w:r>
      <w:r>
        <w:rPr>
          <w:rFonts w:hint="eastAsia" w:ascii="仿宋_GB2312" w:hAnsi="宋体" w:eastAsia="仿宋_GB2312" w:cs="仿宋_GB2312"/>
          <w:color w:val="000000"/>
          <w:kern w:val="0"/>
          <w:sz w:val="32"/>
          <w:szCs w:val="32"/>
        </w:rPr>
        <w:t>万元，增长</w:t>
      </w:r>
      <w:r>
        <w:rPr>
          <w:rFonts w:hint="eastAsia" w:ascii="仿宋_GB2312" w:hAnsi="宋体" w:eastAsia="仿宋_GB2312" w:cs="仿宋_GB2312"/>
          <w:color w:val="000000"/>
          <w:kern w:val="0"/>
          <w:sz w:val="32"/>
          <w:szCs w:val="32"/>
          <w:lang w:val="en-US" w:eastAsia="zh-CN"/>
        </w:rPr>
        <w:t>1.7倍</w:t>
      </w:r>
      <w:r>
        <w:rPr>
          <w:rFonts w:hint="eastAsia" w:ascii="仿宋_GB2312" w:hAnsi="宋体" w:eastAsia="仿宋_GB2312" w:cs="仿宋_GB2312"/>
          <w:color w:val="000000"/>
          <w:kern w:val="0"/>
          <w:sz w:val="32"/>
          <w:szCs w:val="32"/>
        </w:rPr>
        <w:t>，结转结余的增加主要原因是今年团场改革，人员变动较大，故结转结余变动较大。</w:t>
      </w:r>
    </w:p>
    <w:p>
      <w:pPr>
        <w:widowControl/>
        <w:numPr>
          <w:ilvl w:val="0"/>
          <w:numId w:val="4"/>
        </w:numPr>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部门收入总体情况说明</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本年收入合计</w:t>
      </w:r>
      <w:r>
        <w:rPr>
          <w:rFonts w:hint="eastAsia" w:ascii="仿宋_GB2312" w:hAnsi="宋体" w:eastAsia="仿宋_GB2312" w:cs="仿宋_GB2312"/>
          <w:color w:val="000000"/>
          <w:kern w:val="0"/>
          <w:sz w:val="32"/>
          <w:szCs w:val="32"/>
          <w:lang w:val="en-US" w:eastAsia="zh-CN"/>
        </w:rPr>
        <w:t>1094.46</w:t>
      </w:r>
      <w:r>
        <w:rPr>
          <w:rFonts w:hint="eastAsia" w:ascii="仿宋_GB2312" w:hAnsi="宋体" w:eastAsia="仿宋_GB2312" w:cs="仿宋_GB2312"/>
          <w:color w:val="000000"/>
          <w:kern w:val="0"/>
          <w:sz w:val="32"/>
          <w:szCs w:val="32"/>
        </w:rPr>
        <w:t>万元，其中：财政拨款收入</w:t>
      </w:r>
      <w:r>
        <w:rPr>
          <w:rFonts w:hint="eastAsia" w:ascii="仿宋_GB2312" w:hAnsi="宋体" w:eastAsia="仿宋_GB2312" w:cs="仿宋_GB2312"/>
          <w:color w:val="000000"/>
          <w:kern w:val="0"/>
          <w:sz w:val="32"/>
          <w:szCs w:val="32"/>
          <w:lang w:val="en-US" w:eastAsia="zh-CN"/>
        </w:rPr>
        <w:t>1078.46</w:t>
      </w:r>
      <w:r>
        <w:rPr>
          <w:rFonts w:hint="eastAsia"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98.54</w:t>
      </w:r>
      <w:r>
        <w:rPr>
          <w:rFonts w:hint="eastAsia" w:ascii="仿宋_GB2312" w:hAnsi="宋体" w:eastAsia="仿宋_GB2312" w:cs="仿宋_GB2312"/>
          <w:color w:val="000000"/>
          <w:kern w:val="0"/>
          <w:sz w:val="32"/>
          <w:szCs w:val="32"/>
        </w:rPr>
        <w:t>%；上级补助收入0万元；事业收入0万元；经营收入0万元；附属单位缴款0万元；其他收入</w:t>
      </w:r>
      <w:r>
        <w:rPr>
          <w:rFonts w:hint="eastAsia" w:ascii="仿宋_GB2312" w:hAnsi="宋体" w:eastAsia="仿宋_GB2312" w:cs="仿宋_GB2312"/>
          <w:color w:val="000000"/>
          <w:kern w:val="0"/>
          <w:sz w:val="32"/>
          <w:szCs w:val="32"/>
          <w:lang w:val="en-US" w:eastAsia="zh-CN"/>
        </w:rPr>
        <w:t>16</w:t>
      </w:r>
      <w:r>
        <w:rPr>
          <w:rFonts w:hint="eastAsia" w:ascii="仿宋_GB2312" w:hAnsi="宋体" w:eastAsia="仿宋_GB2312" w:cs="仿宋_GB2312"/>
          <w:color w:val="000000"/>
          <w:kern w:val="0"/>
          <w:sz w:val="32"/>
          <w:szCs w:val="32"/>
        </w:rPr>
        <w:t>万元。</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与年初预算数相比情况：本年收入年初预算</w:t>
      </w:r>
      <w:r>
        <w:rPr>
          <w:rFonts w:hint="eastAsia" w:ascii="仿宋_GB2312" w:hAnsi="仿宋_GB2312" w:eastAsia="仿宋_GB2312" w:cs="仿宋_GB2312"/>
          <w:sz w:val="32"/>
          <w:szCs w:val="32"/>
        </w:rPr>
        <w:t>979.99</w:t>
      </w:r>
      <w:r>
        <w:rPr>
          <w:rFonts w:hint="eastAsia" w:ascii="仿宋_GB2312" w:hAnsi="宋体" w:eastAsia="仿宋_GB2312" w:cs="仿宋_GB2312"/>
          <w:color w:val="000000"/>
          <w:kern w:val="0"/>
          <w:sz w:val="32"/>
          <w:szCs w:val="32"/>
        </w:rPr>
        <w:t>万元，决算数</w:t>
      </w:r>
      <w:r>
        <w:rPr>
          <w:rFonts w:hint="eastAsia" w:ascii="仿宋_GB2312" w:hAnsi="宋体" w:eastAsia="仿宋_GB2312" w:cs="仿宋_GB2312"/>
          <w:color w:val="000000"/>
          <w:kern w:val="0"/>
          <w:sz w:val="32"/>
          <w:szCs w:val="32"/>
          <w:lang w:val="en-US" w:eastAsia="zh-CN"/>
        </w:rPr>
        <w:t>1094.46</w:t>
      </w:r>
      <w:r>
        <w:rPr>
          <w:rFonts w:hint="eastAsia" w:ascii="仿宋_GB2312" w:hAnsi="宋体" w:eastAsia="仿宋_GB2312" w:cs="仿宋_GB2312"/>
          <w:color w:val="000000"/>
          <w:kern w:val="0"/>
          <w:sz w:val="32"/>
          <w:szCs w:val="32"/>
        </w:rPr>
        <w:t>万元，预决算差异率</w:t>
      </w:r>
      <w:r>
        <w:rPr>
          <w:rFonts w:hint="eastAsia" w:ascii="仿宋_GB2312" w:hAnsi="宋体" w:eastAsia="仿宋_GB2312" w:cs="仿宋_GB2312"/>
          <w:color w:val="000000"/>
          <w:kern w:val="0"/>
          <w:sz w:val="32"/>
          <w:szCs w:val="32"/>
          <w:lang w:val="en-US" w:eastAsia="zh-CN"/>
        </w:rPr>
        <w:t>11.68</w:t>
      </w:r>
      <w:r>
        <w:rPr>
          <w:rFonts w:hint="eastAsia" w:ascii="仿宋_GB2312" w:hAnsi="宋体" w:eastAsia="仿宋_GB2312" w:cs="仿宋_GB2312"/>
          <w:color w:val="000000"/>
          <w:kern w:val="0"/>
          <w:sz w:val="32"/>
          <w:szCs w:val="32"/>
        </w:rPr>
        <w:t>%，差异主要原因年初预算是团场没改革之前的预算，由于之后团场机构改革，分成了五大中心及机关，故后期调整预算。</w:t>
      </w:r>
    </w:p>
    <w:p>
      <w:pPr>
        <w:widowControl/>
        <w:numPr>
          <w:ilvl w:val="0"/>
          <w:numId w:val="4"/>
        </w:numPr>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部门支出总体情况说明</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本年支出合计</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万元，其中：基本支出</w:t>
      </w:r>
      <w:r>
        <w:rPr>
          <w:rFonts w:hint="eastAsia" w:ascii="仿宋_GB2312" w:hAnsi="宋体" w:eastAsia="仿宋_GB2312" w:cs="仿宋_GB2312"/>
          <w:color w:val="000000"/>
          <w:kern w:val="0"/>
          <w:sz w:val="32"/>
          <w:szCs w:val="32"/>
          <w:lang w:val="en-US" w:eastAsia="zh-CN"/>
        </w:rPr>
        <w:t>649.96</w:t>
      </w:r>
      <w:r>
        <w:rPr>
          <w:rFonts w:hint="eastAsia"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63.66</w:t>
      </w:r>
      <w:r>
        <w:rPr>
          <w:rFonts w:hint="eastAsia" w:ascii="仿宋_GB2312" w:hAnsi="宋体" w:eastAsia="仿宋_GB2312" w:cs="仿宋_GB2312"/>
          <w:color w:val="000000"/>
          <w:kern w:val="0"/>
          <w:sz w:val="32"/>
          <w:szCs w:val="32"/>
        </w:rPr>
        <w:t>%；项目支出</w:t>
      </w:r>
      <w:r>
        <w:rPr>
          <w:rFonts w:hint="eastAsia" w:ascii="仿宋_GB2312" w:hAnsi="宋体" w:eastAsia="仿宋_GB2312" w:cs="仿宋_GB2312"/>
          <w:color w:val="000000"/>
          <w:kern w:val="0"/>
          <w:sz w:val="32"/>
          <w:szCs w:val="32"/>
          <w:lang w:val="en-US" w:eastAsia="zh-CN"/>
        </w:rPr>
        <w:t>371.08</w:t>
      </w:r>
      <w:r>
        <w:rPr>
          <w:rFonts w:hint="eastAsia" w:ascii="仿宋_GB2312" w:hAnsi="宋体" w:eastAsia="仿宋_GB2312" w:cs="仿宋_GB2312"/>
          <w:color w:val="000000"/>
          <w:kern w:val="0"/>
          <w:sz w:val="32"/>
          <w:szCs w:val="32"/>
        </w:rPr>
        <w:t>万元，占</w:t>
      </w:r>
      <w:r>
        <w:rPr>
          <w:rFonts w:hint="eastAsia" w:ascii="仿宋_GB2312" w:hAnsi="宋体" w:eastAsia="仿宋_GB2312" w:cs="仿宋_GB2312"/>
          <w:color w:val="000000"/>
          <w:kern w:val="0"/>
          <w:sz w:val="32"/>
          <w:szCs w:val="32"/>
          <w:lang w:val="en-US" w:eastAsia="zh-CN"/>
        </w:rPr>
        <w:t>36.34</w:t>
      </w:r>
      <w:r>
        <w:rPr>
          <w:rFonts w:hint="eastAsia" w:ascii="仿宋_GB2312" w:hAnsi="宋体" w:eastAsia="仿宋_GB2312" w:cs="仿宋_GB2312"/>
          <w:color w:val="000000"/>
          <w:kern w:val="0"/>
          <w:sz w:val="32"/>
          <w:szCs w:val="32"/>
        </w:rPr>
        <w:t>%；上缴上级支出0万元；经营支出0万元；对附属单位补助支出0万元。</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与年初预算数相比情况：本年支出年初预算979.99万元，决算数</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万元，预决算差异率</w:t>
      </w: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%，差异主要原因年初预算是团场没改革之前的预算，由于之后团场机构改革，分成了五大中心及机关，故后期调整预算。</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二、部门财政拨款收支情况</w:t>
      </w:r>
    </w:p>
    <w:p>
      <w:pPr>
        <w:widowControl/>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（一）财政拨款收支总体情况说明</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9</w:t>
      </w:r>
      <w:r>
        <w:rPr>
          <w:rFonts w:hint="eastAsia" w:ascii="仿宋_GB2312" w:hAnsi="宋体" w:eastAsia="仿宋_GB2312" w:cs="仿宋_GB2312"/>
          <w:color w:val="000000"/>
          <w:kern w:val="0"/>
          <w:sz w:val="32"/>
          <w:szCs w:val="32"/>
        </w:rPr>
        <w:t>年度财政拨款收入</w:t>
      </w:r>
      <w:r>
        <w:rPr>
          <w:rFonts w:hint="eastAsia" w:ascii="仿宋_GB2312" w:hAnsi="宋体" w:eastAsia="仿宋_GB2312" w:cs="仿宋_GB2312"/>
          <w:color w:val="000000"/>
          <w:kern w:val="0"/>
          <w:sz w:val="32"/>
          <w:szCs w:val="32"/>
          <w:lang w:val="en-US" w:eastAsia="zh-CN"/>
        </w:rPr>
        <w:t>1078.46</w:t>
      </w:r>
      <w:r>
        <w:rPr>
          <w:rFonts w:hint="eastAsia" w:ascii="仿宋_GB2312" w:hAnsi="宋体" w:eastAsia="仿宋_GB2312" w:cs="仿宋_GB2312"/>
          <w:color w:val="000000"/>
          <w:kern w:val="0"/>
          <w:sz w:val="32"/>
          <w:szCs w:val="32"/>
        </w:rPr>
        <w:t>万元，与上年相比，</w:t>
      </w:r>
      <w:r>
        <w:rPr>
          <w:rFonts w:hint="eastAsia" w:ascii="仿宋_GB2312" w:hAnsi="宋体" w:eastAsia="仿宋_GB2312" w:cs="仿宋_GB2312"/>
          <w:color w:val="000000"/>
          <w:kern w:val="0"/>
          <w:sz w:val="32"/>
          <w:szCs w:val="32"/>
          <w:lang w:eastAsia="zh-CN"/>
        </w:rPr>
        <w:t>增加</w:t>
      </w:r>
      <w:r>
        <w:rPr>
          <w:rFonts w:hint="eastAsia" w:ascii="仿宋_GB2312" w:hAnsi="宋体" w:eastAsia="仿宋_GB2312" w:cs="仿宋_GB2312"/>
          <w:color w:val="000000"/>
          <w:kern w:val="0"/>
          <w:sz w:val="32"/>
          <w:szCs w:val="32"/>
          <w:lang w:val="en-US" w:eastAsia="zh-CN"/>
        </w:rPr>
        <w:t>508.46</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增长</w:t>
      </w:r>
      <w:r>
        <w:rPr>
          <w:rFonts w:hint="eastAsia" w:ascii="仿宋_GB2312" w:hAnsi="宋体" w:eastAsia="仿宋_GB2312" w:cs="仿宋_GB2312"/>
          <w:color w:val="000000"/>
          <w:kern w:val="0"/>
          <w:sz w:val="32"/>
          <w:szCs w:val="32"/>
          <w:lang w:val="en-US" w:eastAsia="zh-CN"/>
        </w:rPr>
        <w:t>47.15</w:t>
      </w:r>
      <w:r>
        <w:rPr>
          <w:rFonts w:hint="eastAsia" w:ascii="仿宋_GB2312" w:hAnsi="宋体" w:eastAsia="仿宋_GB2312" w:cs="仿宋_GB2312"/>
          <w:color w:val="000000"/>
          <w:kern w:val="0"/>
          <w:sz w:val="32"/>
          <w:szCs w:val="32"/>
        </w:rPr>
        <w:t>%。增减变化主要原因是：团场机构改革做了相关预算调整。财政拨款支出</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万元,与上年相比，</w:t>
      </w:r>
      <w:r>
        <w:rPr>
          <w:rFonts w:hint="eastAsia" w:ascii="仿宋_GB2312" w:hAnsi="宋体" w:eastAsia="仿宋_GB2312" w:cs="仿宋_GB2312"/>
          <w:color w:val="000000"/>
          <w:kern w:val="0"/>
          <w:sz w:val="32"/>
          <w:szCs w:val="32"/>
          <w:lang w:eastAsia="zh-CN"/>
        </w:rPr>
        <w:t>增加</w:t>
      </w:r>
      <w:r>
        <w:rPr>
          <w:rFonts w:hint="eastAsia" w:ascii="仿宋_GB2312" w:hAnsi="宋体" w:eastAsia="仿宋_GB2312" w:cs="仿宋_GB2312"/>
          <w:color w:val="000000"/>
          <w:kern w:val="0"/>
          <w:sz w:val="32"/>
          <w:szCs w:val="32"/>
          <w:lang w:val="en-US" w:eastAsia="zh-CN"/>
        </w:rPr>
        <w:t>493.54</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增长</w:t>
      </w:r>
      <w:r>
        <w:rPr>
          <w:rFonts w:hint="eastAsia" w:ascii="仿宋_GB2312" w:hAnsi="宋体" w:eastAsia="仿宋_GB2312" w:cs="仿宋_GB2312"/>
          <w:color w:val="000000"/>
          <w:kern w:val="0"/>
          <w:sz w:val="32"/>
          <w:szCs w:val="32"/>
          <w:lang w:val="en-US" w:eastAsia="zh-CN"/>
        </w:rPr>
        <w:t>48.34</w:t>
      </w:r>
      <w:r>
        <w:rPr>
          <w:rFonts w:hint="eastAsia" w:ascii="仿宋_GB2312" w:hAnsi="宋体" w:eastAsia="仿宋_GB2312" w:cs="仿宋_GB2312"/>
          <w:color w:val="000000"/>
          <w:kern w:val="0"/>
          <w:sz w:val="32"/>
          <w:szCs w:val="32"/>
        </w:rPr>
        <w:t xml:space="preserve"> %，增减变化主要原因是： 今年团场改革，人员变动较大，故支出变动较大；其中：基本支出</w:t>
      </w:r>
      <w:r>
        <w:rPr>
          <w:rFonts w:hint="eastAsia" w:ascii="仿宋_GB2312" w:hAnsi="宋体" w:eastAsia="仿宋_GB2312" w:cs="仿宋_GB2312"/>
          <w:color w:val="000000"/>
          <w:kern w:val="0"/>
          <w:sz w:val="32"/>
          <w:szCs w:val="32"/>
          <w:lang w:val="en-US" w:eastAsia="zh-CN"/>
        </w:rPr>
        <w:t>649.96</w:t>
      </w:r>
      <w:r>
        <w:rPr>
          <w:rFonts w:hint="eastAsia" w:ascii="仿宋_GB2312" w:hAnsi="宋体" w:eastAsia="仿宋_GB2312" w:cs="仿宋_GB2312"/>
          <w:color w:val="000000"/>
          <w:kern w:val="0"/>
          <w:sz w:val="32"/>
          <w:szCs w:val="32"/>
        </w:rPr>
        <w:t>万元，项目支出</w:t>
      </w:r>
      <w:r>
        <w:rPr>
          <w:rFonts w:hint="eastAsia" w:ascii="仿宋_GB2312" w:hAnsi="宋体" w:eastAsia="仿宋_GB2312" w:cs="仿宋_GB2312"/>
          <w:color w:val="000000"/>
          <w:kern w:val="0"/>
          <w:sz w:val="32"/>
          <w:szCs w:val="32"/>
          <w:lang w:val="en-US" w:eastAsia="zh-CN"/>
        </w:rPr>
        <w:t>371.08</w:t>
      </w:r>
      <w:r>
        <w:rPr>
          <w:rFonts w:hint="eastAsia" w:ascii="仿宋_GB2312" w:hAnsi="宋体" w:eastAsia="仿宋_GB2312" w:cs="仿宋_GB2312"/>
          <w:color w:val="000000"/>
          <w:kern w:val="0"/>
          <w:sz w:val="32"/>
          <w:szCs w:val="32"/>
        </w:rPr>
        <w:t>万元。财政拨款结转</w:t>
      </w:r>
      <w:r>
        <w:rPr>
          <w:rFonts w:hint="eastAsia" w:ascii="仿宋_GB2312" w:hAnsi="宋体" w:eastAsia="仿宋_GB2312" w:cs="仿宋_GB2312"/>
          <w:color w:val="000000"/>
          <w:kern w:val="0"/>
          <w:sz w:val="32"/>
          <w:szCs w:val="32"/>
          <w:lang w:val="en-US" w:eastAsia="zh-CN"/>
        </w:rPr>
        <w:t>115.86</w:t>
      </w:r>
      <w:r>
        <w:rPr>
          <w:rFonts w:hint="eastAsia" w:ascii="仿宋_GB2312" w:hAnsi="宋体" w:eastAsia="仿宋_GB2312" w:cs="仿宋_GB2312"/>
          <w:color w:val="000000"/>
          <w:kern w:val="0"/>
          <w:sz w:val="32"/>
          <w:szCs w:val="32"/>
        </w:rPr>
        <w:t>万元，与上年相比，增加</w:t>
      </w:r>
      <w:r>
        <w:rPr>
          <w:rFonts w:hint="eastAsia" w:ascii="仿宋_GB2312" w:hAnsi="宋体" w:eastAsia="仿宋_GB2312" w:cs="仿宋_GB2312"/>
          <w:color w:val="000000"/>
          <w:kern w:val="0"/>
          <w:sz w:val="32"/>
          <w:szCs w:val="32"/>
          <w:lang w:val="en-US" w:eastAsia="zh-CN"/>
        </w:rPr>
        <w:t>73.46</w:t>
      </w:r>
      <w:r>
        <w:rPr>
          <w:rFonts w:hint="eastAsia" w:ascii="仿宋_GB2312" w:hAnsi="宋体" w:eastAsia="仿宋_GB2312" w:cs="仿宋_GB2312"/>
          <w:color w:val="000000"/>
          <w:kern w:val="0"/>
          <w:sz w:val="32"/>
          <w:szCs w:val="32"/>
        </w:rPr>
        <w:t>万元，增长</w:t>
      </w:r>
      <w:r>
        <w:rPr>
          <w:rFonts w:hint="eastAsia" w:ascii="仿宋_GB2312" w:hAnsi="宋体" w:eastAsia="仿宋_GB2312" w:cs="仿宋_GB2312"/>
          <w:color w:val="000000"/>
          <w:kern w:val="0"/>
          <w:sz w:val="32"/>
          <w:szCs w:val="32"/>
          <w:lang w:val="en-US" w:eastAsia="zh-CN"/>
        </w:rPr>
        <w:t>1.7倍</w:t>
      </w:r>
      <w:r>
        <w:rPr>
          <w:rFonts w:hint="eastAsia" w:ascii="仿宋_GB2312" w:hAnsi="宋体" w:eastAsia="仿宋_GB2312" w:cs="仿宋_GB2312"/>
          <w:color w:val="000000"/>
          <w:kern w:val="0"/>
          <w:sz w:val="32"/>
          <w:szCs w:val="32"/>
        </w:rPr>
        <w:t>，增加主要原因是：今年团场改革，人员变动较大，故结转结余变动较大。</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与年初预算数相比情况：财政拨款收入年初预算数979.99万元，决算数</w:t>
      </w:r>
      <w:r>
        <w:rPr>
          <w:rFonts w:hint="eastAsia" w:ascii="仿宋_GB2312" w:hAnsi="宋体" w:eastAsia="仿宋_GB2312" w:cs="仿宋_GB2312"/>
          <w:color w:val="000000"/>
          <w:kern w:val="0"/>
          <w:sz w:val="32"/>
          <w:szCs w:val="32"/>
          <w:lang w:val="en-US" w:eastAsia="zh-CN"/>
        </w:rPr>
        <w:t>1078.46</w:t>
      </w:r>
      <w:r>
        <w:rPr>
          <w:rFonts w:hint="eastAsia" w:ascii="仿宋_GB2312" w:hAnsi="宋体" w:eastAsia="仿宋_GB2312" w:cs="仿宋_GB2312"/>
          <w:color w:val="000000"/>
          <w:kern w:val="0"/>
          <w:sz w:val="32"/>
          <w:szCs w:val="32"/>
        </w:rPr>
        <w:t>万元，预决算差异率</w:t>
      </w:r>
      <w:r>
        <w:rPr>
          <w:rFonts w:hint="eastAsia" w:ascii="仿宋_GB2312" w:hAnsi="宋体" w:eastAsia="仿宋_GB2312" w:cs="仿宋_GB2312"/>
          <w:color w:val="000000"/>
          <w:kern w:val="0"/>
          <w:sz w:val="32"/>
          <w:szCs w:val="32"/>
          <w:lang w:val="en-US" w:eastAsia="zh-CN"/>
        </w:rPr>
        <w:t>10</w:t>
      </w:r>
      <w:r>
        <w:rPr>
          <w:rFonts w:hint="eastAsia" w:ascii="仿宋_GB2312" w:hAnsi="宋体" w:eastAsia="仿宋_GB2312" w:cs="仿宋_GB2312"/>
          <w:color w:val="000000"/>
          <w:kern w:val="0"/>
          <w:sz w:val="32"/>
          <w:szCs w:val="32"/>
        </w:rPr>
        <w:t>%，差异主要原因年初预算是团场没改革之前的预算，由于之后团场机构改革，分成了五大中心及机关，故后期调整预算。财政拨款支出年初预算数979.99万元，决算数</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万元，预决算差异率</w:t>
      </w: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%，差异主要原因年初预算是团场没改革之前的预算，由于之后团场机构改革，分成了五大中心及机关，故后期调整预算。</w:t>
      </w:r>
    </w:p>
    <w:p>
      <w:pPr>
        <w:widowControl/>
        <w:numPr>
          <w:ilvl w:val="0"/>
          <w:numId w:val="5"/>
        </w:numPr>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一般公共预算决算情况说明</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9</w:t>
      </w:r>
      <w:r>
        <w:rPr>
          <w:rFonts w:hint="eastAsia" w:ascii="仿宋_GB2312" w:hAnsi="宋体" w:eastAsia="仿宋_GB2312" w:cs="仿宋_GB2312"/>
          <w:color w:val="000000"/>
          <w:kern w:val="0"/>
          <w:sz w:val="32"/>
          <w:szCs w:val="32"/>
        </w:rPr>
        <w:t>年度一般公共预算财政拨款收入</w:t>
      </w:r>
      <w:r>
        <w:rPr>
          <w:rFonts w:hint="eastAsia" w:ascii="仿宋_GB2312" w:hAnsi="宋体" w:eastAsia="仿宋_GB2312" w:cs="仿宋_GB2312"/>
          <w:color w:val="000000"/>
          <w:kern w:val="0"/>
          <w:sz w:val="32"/>
          <w:szCs w:val="32"/>
          <w:lang w:val="en-US" w:eastAsia="zh-CN"/>
        </w:rPr>
        <w:t>1078.46</w:t>
      </w:r>
      <w:r>
        <w:rPr>
          <w:rFonts w:hint="eastAsia" w:ascii="仿宋_GB2312" w:hAnsi="宋体" w:eastAsia="仿宋_GB2312" w:cs="仿宋_GB2312"/>
          <w:color w:val="000000"/>
          <w:kern w:val="0"/>
          <w:sz w:val="32"/>
          <w:szCs w:val="32"/>
        </w:rPr>
        <w:t>万元，与上年相比，</w:t>
      </w:r>
      <w:r>
        <w:rPr>
          <w:rFonts w:hint="eastAsia" w:ascii="仿宋_GB2312" w:hAnsi="宋体" w:eastAsia="仿宋_GB2312" w:cs="仿宋_GB2312"/>
          <w:color w:val="000000"/>
          <w:kern w:val="0"/>
          <w:sz w:val="32"/>
          <w:szCs w:val="32"/>
          <w:lang w:eastAsia="zh-CN"/>
        </w:rPr>
        <w:t>增加</w:t>
      </w:r>
      <w:r>
        <w:rPr>
          <w:rFonts w:hint="eastAsia" w:ascii="仿宋_GB2312" w:hAnsi="宋体" w:eastAsia="仿宋_GB2312" w:cs="仿宋_GB2312"/>
          <w:color w:val="000000"/>
          <w:kern w:val="0"/>
          <w:sz w:val="32"/>
          <w:szCs w:val="32"/>
          <w:lang w:val="en-US" w:eastAsia="zh-CN"/>
        </w:rPr>
        <w:t>508.46</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增长</w:t>
      </w:r>
      <w:r>
        <w:rPr>
          <w:rFonts w:hint="eastAsia" w:ascii="仿宋_GB2312" w:hAnsi="宋体" w:eastAsia="仿宋_GB2312" w:cs="仿宋_GB2312"/>
          <w:color w:val="000000"/>
          <w:kern w:val="0"/>
          <w:sz w:val="32"/>
          <w:szCs w:val="32"/>
          <w:lang w:val="en-US" w:eastAsia="zh-CN"/>
        </w:rPr>
        <w:t>47.15</w:t>
      </w:r>
      <w:r>
        <w:rPr>
          <w:rFonts w:hint="eastAsia" w:ascii="仿宋_GB2312" w:hAnsi="宋体" w:eastAsia="仿宋_GB2312" w:cs="仿宋_GB2312"/>
          <w:color w:val="000000"/>
          <w:kern w:val="0"/>
          <w:sz w:val="32"/>
          <w:szCs w:val="32"/>
        </w:rPr>
        <w:t>%。增减变化主要原因是：团场机构改革做了相关预算调整。201</w:t>
      </w:r>
      <w:r>
        <w:rPr>
          <w:rFonts w:hint="eastAsia" w:ascii="仿宋_GB2312" w:hAnsi="宋体" w:eastAsia="仿宋_GB2312" w:cs="仿宋_GB2312"/>
          <w:color w:val="000000"/>
          <w:kern w:val="0"/>
          <w:sz w:val="32"/>
          <w:szCs w:val="32"/>
          <w:lang w:val="en-US" w:eastAsia="zh-CN"/>
        </w:rPr>
        <w:t>9</w:t>
      </w:r>
      <w:r>
        <w:rPr>
          <w:rFonts w:hint="eastAsia" w:ascii="仿宋_GB2312" w:hAnsi="宋体" w:eastAsia="仿宋_GB2312" w:cs="仿宋_GB2312"/>
          <w:color w:val="000000"/>
          <w:kern w:val="0"/>
          <w:sz w:val="32"/>
          <w:szCs w:val="32"/>
        </w:rPr>
        <w:t>年度一般公共预算财政拨款支出</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万元，与上年相比，</w:t>
      </w:r>
      <w:r>
        <w:rPr>
          <w:rFonts w:hint="eastAsia" w:ascii="仿宋_GB2312" w:hAnsi="宋体" w:eastAsia="仿宋_GB2312" w:cs="仿宋_GB2312"/>
          <w:color w:val="000000"/>
          <w:kern w:val="0"/>
          <w:sz w:val="32"/>
          <w:szCs w:val="32"/>
          <w:lang w:eastAsia="zh-CN"/>
        </w:rPr>
        <w:t>增加</w:t>
      </w:r>
      <w:r>
        <w:rPr>
          <w:rFonts w:hint="eastAsia" w:ascii="仿宋_GB2312" w:hAnsi="宋体" w:eastAsia="仿宋_GB2312" w:cs="仿宋_GB2312"/>
          <w:color w:val="000000"/>
          <w:kern w:val="0"/>
          <w:sz w:val="32"/>
          <w:szCs w:val="32"/>
          <w:lang w:val="en-US" w:eastAsia="zh-CN"/>
        </w:rPr>
        <w:t>493.54</w:t>
      </w:r>
      <w:r>
        <w:rPr>
          <w:rFonts w:hint="eastAsia" w:ascii="仿宋_GB2312" w:hAnsi="宋体" w:eastAsia="仿宋_GB2312" w:cs="仿宋_GB2312"/>
          <w:color w:val="000000"/>
          <w:kern w:val="0"/>
          <w:sz w:val="32"/>
          <w:szCs w:val="32"/>
        </w:rPr>
        <w:t>万元，</w:t>
      </w:r>
      <w:r>
        <w:rPr>
          <w:rFonts w:hint="eastAsia" w:ascii="仿宋_GB2312" w:hAnsi="宋体" w:eastAsia="仿宋_GB2312" w:cs="仿宋_GB2312"/>
          <w:color w:val="000000"/>
          <w:kern w:val="0"/>
          <w:sz w:val="32"/>
          <w:szCs w:val="32"/>
          <w:lang w:eastAsia="zh-CN"/>
        </w:rPr>
        <w:t>增长</w:t>
      </w:r>
      <w:r>
        <w:rPr>
          <w:rFonts w:hint="eastAsia" w:ascii="仿宋_GB2312" w:hAnsi="宋体" w:eastAsia="仿宋_GB2312" w:cs="仿宋_GB2312"/>
          <w:color w:val="000000"/>
          <w:kern w:val="0"/>
          <w:sz w:val="32"/>
          <w:szCs w:val="32"/>
          <w:lang w:val="en-US" w:eastAsia="zh-CN"/>
        </w:rPr>
        <w:t>93.56</w:t>
      </w:r>
      <w:r>
        <w:rPr>
          <w:rFonts w:hint="eastAsia" w:ascii="仿宋_GB2312" w:hAnsi="宋体" w:eastAsia="仿宋_GB2312" w:cs="仿宋_GB2312"/>
          <w:color w:val="000000"/>
          <w:kern w:val="0"/>
          <w:sz w:val="32"/>
          <w:szCs w:val="32"/>
        </w:rPr>
        <w:t xml:space="preserve"> %，增减变化主要原因是： 今年团场改革，人员变动较大，故支出变动较大其中：按功能分类科目，2010301行政运行。</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与年初预算数相比情况：一般公共预算财政拨款收入年初预算数979.99万元，决算数</w:t>
      </w:r>
      <w:r>
        <w:rPr>
          <w:rFonts w:hint="eastAsia" w:ascii="仿宋_GB2312" w:hAnsi="宋体" w:eastAsia="仿宋_GB2312" w:cs="仿宋_GB2312"/>
          <w:color w:val="000000"/>
          <w:kern w:val="0"/>
          <w:sz w:val="32"/>
          <w:szCs w:val="32"/>
          <w:lang w:val="en-US" w:eastAsia="zh-CN"/>
        </w:rPr>
        <w:t>1078.46</w:t>
      </w:r>
      <w:r>
        <w:rPr>
          <w:rFonts w:hint="eastAsia" w:ascii="仿宋_GB2312" w:hAnsi="宋体" w:eastAsia="仿宋_GB2312" w:cs="仿宋_GB2312"/>
          <w:color w:val="000000"/>
          <w:kern w:val="0"/>
          <w:sz w:val="32"/>
          <w:szCs w:val="32"/>
        </w:rPr>
        <w:t>万元，预决算差异率</w:t>
      </w:r>
      <w:r>
        <w:rPr>
          <w:rFonts w:hint="eastAsia" w:ascii="仿宋_GB2312" w:hAnsi="宋体" w:eastAsia="仿宋_GB2312" w:cs="仿宋_GB2312"/>
          <w:color w:val="000000"/>
          <w:kern w:val="0"/>
          <w:sz w:val="32"/>
          <w:szCs w:val="32"/>
          <w:lang w:val="en-US" w:eastAsia="zh-CN"/>
        </w:rPr>
        <w:t>10</w:t>
      </w:r>
      <w:r>
        <w:rPr>
          <w:rFonts w:hint="eastAsia" w:ascii="仿宋_GB2312" w:hAnsi="宋体" w:eastAsia="仿宋_GB2312" w:cs="仿宋_GB2312"/>
          <w:color w:val="000000"/>
          <w:kern w:val="0"/>
          <w:sz w:val="32"/>
          <w:szCs w:val="32"/>
        </w:rPr>
        <w:t>%，差异主要原因差异主要原因年初预算是团场没改革之前的预算，由于之后团场机构改革，分成了五大中心及机关，故后期调整预算。。一般公共预算财政拨款支出年初预算数979.99万元，决算数</w:t>
      </w:r>
      <w:r>
        <w:rPr>
          <w:rFonts w:hint="eastAsia" w:ascii="仿宋_GB2312" w:hAnsi="宋体" w:eastAsia="仿宋_GB2312" w:cs="仿宋_GB2312"/>
          <w:color w:val="000000"/>
          <w:kern w:val="0"/>
          <w:sz w:val="32"/>
          <w:szCs w:val="32"/>
          <w:lang w:val="en-US" w:eastAsia="zh-CN"/>
        </w:rPr>
        <w:t>1021.04</w:t>
      </w:r>
      <w:r>
        <w:rPr>
          <w:rFonts w:hint="eastAsia" w:ascii="仿宋_GB2312" w:hAnsi="宋体" w:eastAsia="仿宋_GB2312" w:cs="仿宋_GB2312"/>
          <w:color w:val="000000"/>
          <w:kern w:val="0"/>
          <w:sz w:val="32"/>
          <w:szCs w:val="32"/>
        </w:rPr>
        <w:t>万元，预决算差异率</w:t>
      </w: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%，差异主要原因年初预算是团场没改革之前的预算，由于之后团场机构改革，分成了五大中心及机关，故后期调整预算。。</w:t>
      </w:r>
    </w:p>
    <w:p>
      <w:pPr>
        <w:widowControl/>
        <w:numPr>
          <w:ilvl w:val="0"/>
          <w:numId w:val="5"/>
        </w:numPr>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政府性基金预算收支决算情况说明</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201</w:t>
      </w:r>
      <w:r>
        <w:rPr>
          <w:rFonts w:hint="eastAsia" w:ascii="仿宋_GB2312" w:hAnsi="宋体" w:eastAsia="仿宋_GB2312" w:cs="仿宋_GB2312"/>
          <w:color w:val="000000"/>
          <w:kern w:val="0"/>
          <w:sz w:val="32"/>
          <w:szCs w:val="32"/>
          <w:lang w:val="en-US" w:eastAsia="zh-CN"/>
        </w:rPr>
        <w:t>9</w:t>
      </w:r>
      <w:r>
        <w:rPr>
          <w:rFonts w:hint="eastAsia" w:ascii="仿宋_GB2312" w:hAnsi="宋体" w:eastAsia="仿宋_GB2312" w:cs="仿宋_GB2312"/>
          <w:color w:val="000000"/>
          <w:kern w:val="0"/>
          <w:sz w:val="32"/>
          <w:szCs w:val="32"/>
        </w:rPr>
        <w:t>年度政府性基金预算财政拨款收入0万元，与上年相比，增加0万元，增长0%。政府性基金预算财政拨款支出0万元，与上年相比，增加0万元，增长0%。</w:t>
      </w:r>
    </w:p>
    <w:p>
      <w:pPr>
        <w:widowControl/>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与年初预算数相比情况：政府性基金预算财政拨款收入0万元，决算数0万元，预决算差异率0%。政府性基金预算财政拨款支出0万元，决算数0万元，预决算差异率0%。</w:t>
      </w:r>
    </w:p>
    <w:p>
      <w:pPr>
        <w:widowControl/>
        <w:numPr>
          <w:ilvl w:val="0"/>
          <w:numId w:val="6"/>
        </w:numPr>
        <w:jc w:val="left"/>
        <w:rPr>
          <w:rFonts w:ascii="楷体_GB2312" w:hAnsi="楷体_GB2312" w:eastAsia="楷体_GB2312" w:cs="楷体_GB2312"/>
          <w:color w:val="000000" w:themeColor="text1"/>
          <w:kern w:val="0"/>
          <w:sz w:val="32"/>
          <w:szCs w:val="32"/>
          <w:highlight w:val="none"/>
        </w:rPr>
      </w:pPr>
      <w:r>
        <w:rPr>
          <w:rFonts w:hint="eastAsia" w:ascii="楷体_GB2312" w:hAnsi="楷体_GB2312" w:eastAsia="楷体_GB2312" w:cs="楷体_GB2312"/>
          <w:color w:val="000000" w:themeColor="text1"/>
          <w:kern w:val="0"/>
          <w:sz w:val="32"/>
          <w:szCs w:val="32"/>
          <w:highlight w:val="none"/>
        </w:rPr>
        <w:t>部门结转结余情况</w:t>
      </w:r>
    </w:p>
    <w:p>
      <w:pPr>
        <w:widowControl/>
        <w:ind w:firstLine="640" w:firstLineChars="200"/>
        <w:rPr>
          <w:rFonts w:ascii="仿宋_GB2312" w:hAnsi="仿宋_GB2312" w:eastAsia="仿宋_GB2312" w:cs="仿宋_GB2312"/>
          <w:color w:val="000000" w:themeColor="text1"/>
          <w:kern w:val="0"/>
          <w:sz w:val="32"/>
          <w:szCs w:val="32"/>
          <w:highlight w:val="none"/>
        </w:rPr>
      </w:pPr>
      <w:r>
        <w:rPr>
          <w:rFonts w:hint="eastAsia" w:ascii="仿宋_GB2312" w:hAnsi="仿宋_GB2312" w:eastAsia="仿宋_GB2312" w:cs="仿宋_GB2312"/>
          <w:color w:val="000000" w:themeColor="text1"/>
          <w:kern w:val="0"/>
          <w:sz w:val="32"/>
          <w:szCs w:val="32"/>
          <w:highlight w:val="none"/>
        </w:rPr>
        <w:t>年末结转结余</w:t>
      </w:r>
      <w:r>
        <w:rPr>
          <w:rFonts w:hint="eastAsia" w:ascii="仿宋_GB2312" w:hAnsi="仿宋_GB2312" w:eastAsia="仿宋_GB2312" w:cs="仿宋_GB2312"/>
          <w:color w:val="000000" w:themeColor="text1"/>
          <w:kern w:val="0"/>
          <w:sz w:val="32"/>
          <w:szCs w:val="32"/>
          <w:highlight w:val="none"/>
          <w:lang w:val="en-US" w:eastAsia="zh-CN"/>
        </w:rPr>
        <w:t>115.86</w:t>
      </w:r>
      <w:r>
        <w:rPr>
          <w:rFonts w:hint="eastAsia" w:ascii="仿宋_GB2312" w:hAnsi="仿宋_GB2312" w:eastAsia="仿宋_GB2312" w:cs="仿宋_GB2312"/>
          <w:color w:val="000000" w:themeColor="text1"/>
          <w:kern w:val="0"/>
          <w:sz w:val="32"/>
          <w:szCs w:val="32"/>
          <w:highlight w:val="none"/>
        </w:rPr>
        <w:t>万元。与上年相比，增加</w:t>
      </w:r>
      <w:r>
        <w:rPr>
          <w:rFonts w:hint="eastAsia" w:ascii="仿宋_GB2312" w:hAnsi="仿宋_GB2312" w:eastAsia="仿宋_GB2312" w:cs="仿宋_GB2312"/>
          <w:color w:val="000000" w:themeColor="text1"/>
          <w:kern w:val="0"/>
          <w:sz w:val="32"/>
          <w:szCs w:val="32"/>
          <w:highlight w:val="none"/>
          <w:lang w:val="en-US" w:eastAsia="zh-CN"/>
        </w:rPr>
        <w:t>73.46</w:t>
      </w:r>
      <w:r>
        <w:rPr>
          <w:rFonts w:hint="eastAsia" w:ascii="仿宋_GB2312" w:hAnsi="仿宋_GB2312" w:eastAsia="仿宋_GB2312" w:cs="仿宋_GB2312"/>
          <w:color w:val="000000" w:themeColor="text1"/>
          <w:kern w:val="0"/>
          <w:sz w:val="32"/>
          <w:szCs w:val="32"/>
          <w:highlight w:val="none"/>
        </w:rPr>
        <w:t>万元，增长</w:t>
      </w:r>
      <w:r>
        <w:rPr>
          <w:rFonts w:hint="eastAsia" w:ascii="仿宋_GB2312" w:hAnsi="仿宋_GB2312" w:eastAsia="仿宋_GB2312" w:cs="仿宋_GB2312"/>
          <w:color w:val="000000" w:themeColor="text1"/>
          <w:kern w:val="0"/>
          <w:sz w:val="32"/>
          <w:szCs w:val="32"/>
          <w:highlight w:val="none"/>
          <w:lang w:val="en-US" w:eastAsia="zh-CN"/>
        </w:rPr>
        <w:t>1.7</w:t>
      </w:r>
      <w:r>
        <w:rPr>
          <w:rFonts w:hint="eastAsia" w:ascii="仿宋_GB2312" w:hAnsi="仿宋_GB2312" w:eastAsia="仿宋_GB2312" w:cs="仿宋_GB2312"/>
          <w:color w:val="000000" w:themeColor="text1"/>
          <w:kern w:val="0"/>
          <w:sz w:val="32"/>
          <w:szCs w:val="32"/>
          <w:highlight w:val="none"/>
          <w:lang w:eastAsia="zh-CN"/>
        </w:rPr>
        <w:t>倍</w:t>
      </w:r>
      <w:r>
        <w:rPr>
          <w:rFonts w:hint="eastAsia" w:ascii="仿宋_GB2312" w:hAnsi="仿宋_GB2312" w:eastAsia="仿宋_GB2312" w:cs="仿宋_GB2312"/>
          <w:color w:val="000000" w:themeColor="text1"/>
          <w:kern w:val="0"/>
          <w:sz w:val="32"/>
          <w:szCs w:val="32"/>
          <w:highlight w:val="none"/>
        </w:rPr>
        <w:t>。其中财政拨款结转结余</w:t>
      </w:r>
      <w:r>
        <w:rPr>
          <w:rFonts w:hint="eastAsia" w:ascii="仿宋_GB2312" w:hAnsi="仿宋_GB2312" w:eastAsia="仿宋_GB2312" w:cs="仿宋_GB2312"/>
          <w:color w:val="000000" w:themeColor="text1"/>
          <w:kern w:val="0"/>
          <w:sz w:val="32"/>
          <w:szCs w:val="32"/>
          <w:highlight w:val="none"/>
          <w:lang w:val="en-US" w:eastAsia="zh-CN"/>
        </w:rPr>
        <w:t>103.94</w:t>
      </w:r>
      <w:r>
        <w:rPr>
          <w:rFonts w:hint="eastAsia" w:ascii="仿宋_GB2312" w:hAnsi="仿宋_GB2312" w:eastAsia="仿宋_GB2312" w:cs="仿宋_GB2312"/>
          <w:color w:val="000000" w:themeColor="text1"/>
          <w:kern w:val="0"/>
          <w:sz w:val="32"/>
          <w:szCs w:val="32"/>
          <w:highlight w:val="none"/>
        </w:rPr>
        <w:t>万元。与上年相比，增加</w:t>
      </w:r>
      <w:r>
        <w:rPr>
          <w:rFonts w:hint="eastAsia" w:ascii="仿宋_GB2312" w:hAnsi="仿宋_GB2312" w:eastAsia="仿宋_GB2312" w:cs="仿宋_GB2312"/>
          <w:color w:val="000000" w:themeColor="text1"/>
          <w:kern w:val="0"/>
          <w:sz w:val="32"/>
          <w:szCs w:val="32"/>
          <w:highlight w:val="none"/>
          <w:lang w:val="en-US" w:eastAsia="zh-CN"/>
        </w:rPr>
        <w:t>73.46</w:t>
      </w:r>
      <w:r>
        <w:rPr>
          <w:rFonts w:hint="eastAsia" w:ascii="仿宋_GB2312" w:hAnsi="仿宋_GB2312" w:eastAsia="仿宋_GB2312" w:cs="仿宋_GB2312"/>
          <w:color w:val="000000" w:themeColor="text1"/>
          <w:kern w:val="0"/>
          <w:sz w:val="32"/>
          <w:szCs w:val="32"/>
          <w:highlight w:val="none"/>
        </w:rPr>
        <w:t>万元，增长1</w:t>
      </w:r>
      <w:r>
        <w:rPr>
          <w:rFonts w:hint="eastAsia" w:ascii="仿宋_GB2312" w:hAnsi="仿宋_GB2312" w:eastAsia="仿宋_GB2312" w:cs="仿宋_GB2312"/>
          <w:color w:val="000000" w:themeColor="text1"/>
          <w:kern w:val="0"/>
          <w:sz w:val="32"/>
          <w:szCs w:val="32"/>
          <w:highlight w:val="none"/>
          <w:lang w:val="en-US" w:eastAsia="zh-CN"/>
        </w:rPr>
        <w:t>45</w:t>
      </w:r>
      <w:r>
        <w:rPr>
          <w:rFonts w:hint="eastAsia" w:ascii="仿宋_GB2312" w:hAnsi="仿宋_GB2312" w:eastAsia="仿宋_GB2312" w:cs="仿宋_GB2312"/>
          <w:color w:val="000000" w:themeColor="text1"/>
          <w:kern w:val="0"/>
          <w:sz w:val="32"/>
          <w:szCs w:val="32"/>
          <w:highlight w:val="none"/>
        </w:rPr>
        <w:t>%</w:t>
      </w:r>
    </w:p>
    <w:p>
      <w:pPr>
        <w:widowControl/>
        <w:numPr>
          <w:ilvl w:val="0"/>
          <w:numId w:val="6"/>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一般公共预算“三公”经费情况</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年度一般公共预算“三公”经费决算3</w:t>
      </w:r>
      <w:r>
        <w:rPr>
          <w:rFonts w:hint="eastAsia" w:ascii="仿宋_GB2312" w:hAnsi="仿宋_GB2312" w:eastAsia="仿宋_GB2312" w:cs="仿宋_GB2312"/>
          <w:color w:val="000000"/>
          <w:kern w:val="0"/>
          <w:sz w:val="32"/>
          <w:szCs w:val="32"/>
          <w:lang w:val="en-US" w:eastAsia="zh-CN"/>
        </w:rPr>
        <w:t>3.86</w:t>
      </w:r>
      <w:r>
        <w:rPr>
          <w:rFonts w:hint="eastAsia" w:ascii="仿宋_GB2312" w:hAnsi="仿宋_GB2312" w:eastAsia="仿宋_GB2312" w:cs="仿宋_GB2312"/>
          <w:color w:val="000000"/>
          <w:kern w:val="0"/>
          <w:sz w:val="32"/>
          <w:szCs w:val="32"/>
        </w:rPr>
        <w:t>万元，比上年减少</w:t>
      </w:r>
      <w:r>
        <w:rPr>
          <w:rFonts w:hint="eastAsia" w:ascii="仿宋_GB2312" w:hAnsi="仿宋_GB2312" w:eastAsia="仿宋_GB2312" w:cs="仿宋_GB2312"/>
          <w:color w:val="000000"/>
          <w:kern w:val="0"/>
          <w:sz w:val="32"/>
          <w:szCs w:val="32"/>
          <w:lang w:val="en-US" w:eastAsia="zh-CN"/>
        </w:rPr>
        <w:t>36.44</w:t>
      </w:r>
      <w:r>
        <w:rPr>
          <w:rFonts w:hint="eastAsia" w:ascii="仿宋_GB2312" w:hAnsi="仿宋_GB2312" w:eastAsia="仿宋_GB2312" w:cs="仿宋_GB2312"/>
          <w:color w:val="000000"/>
          <w:kern w:val="0"/>
          <w:sz w:val="32"/>
          <w:szCs w:val="32"/>
        </w:rPr>
        <w:t>万元，降低</w:t>
      </w:r>
      <w:r>
        <w:rPr>
          <w:rFonts w:hint="eastAsia" w:ascii="仿宋_GB2312" w:hAnsi="仿宋_GB2312" w:eastAsia="仿宋_GB2312" w:cs="仿宋_GB2312"/>
          <w:color w:val="000000"/>
          <w:kern w:val="0"/>
          <w:sz w:val="32"/>
          <w:szCs w:val="32"/>
          <w:lang w:val="en-US" w:eastAsia="zh-CN"/>
        </w:rPr>
        <w:t>54.43</w:t>
      </w:r>
      <w:r>
        <w:rPr>
          <w:rFonts w:hint="eastAsia" w:ascii="仿宋_GB2312" w:hAnsi="仿宋_GB2312" w:eastAsia="仿宋_GB2312" w:cs="仿宋_GB2312"/>
          <w:color w:val="000000"/>
          <w:kern w:val="0"/>
          <w:sz w:val="32"/>
          <w:szCs w:val="32"/>
        </w:rPr>
        <w:t>%，减少原因是201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年机构改革，三公经费做了调减。其中，因公出国（境）费0万元，占0%，比上年减少0万元，降低0%，减少原因是0；公务用车购置及运行维护费</w:t>
      </w:r>
      <w:r>
        <w:rPr>
          <w:rFonts w:hint="eastAsia" w:ascii="仿宋_GB2312" w:hAnsi="仿宋_GB2312" w:eastAsia="仿宋_GB2312" w:cs="仿宋_GB2312"/>
          <w:color w:val="000000"/>
          <w:kern w:val="0"/>
          <w:sz w:val="32"/>
          <w:szCs w:val="32"/>
          <w:lang w:val="en-US" w:eastAsia="zh-CN"/>
        </w:rPr>
        <w:t>20.30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60</w:t>
      </w:r>
      <w:r>
        <w:rPr>
          <w:rFonts w:hint="eastAsia" w:ascii="仿宋_GB2312" w:hAnsi="仿宋_GB2312" w:eastAsia="仿宋_GB2312" w:cs="仿宋_GB2312"/>
          <w:color w:val="000000"/>
          <w:kern w:val="0"/>
          <w:sz w:val="32"/>
          <w:szCs w:val="32"/>
        </w:rPr>
        <w:t>%，比上年减少</w:t>
      </w:r>
      <w:r>
        <w:rPr>
          <w:rFonts w:hint="eastAsia" w:ascii="仿宋_GB2312" w:hAnsi="仿宋_GB2312" w:eastAsia="仿宋_GB2312" w:cs="仿宋_GB2312"/>
          <w:color w:val="000000"/>
          <w:kern w:val="0"/>
          <w:sz w:val="32"/>
          <w:szCs w:val="32"/>
          <w:lang w:val="en-US" w:eastAsia="zh-CN"/>
        </w:rPr>
        <w:t>14.6</w:t>
      </w:r>
      <w:r>
        <w:rPr>
          <w:rFonts w:hint="eastAsia" w:ascii="仿宋_GB2312" w:hAnsi="仿宋_GB2312" w:eastAsia="仿宋_GB2312" w:cs="仿宋_GB2312"/>
          <w:color w:val="000000"/>
          <w:kern w:val="0"/>
          <w:sz w:val="32"/>
          <w:szCs w:val="32"/>
        </w:rPr>
        <w:t>万元，降低4</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%，减少原因是201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年机构改革，三公经费做了调减，严格管控公车运行费的开支；公务接待费</w:t>
      </w:r>
      <w:r>
        <w:rPr>
          <w:rFonts w:hint="eastAsia" w:ascii="仿宋_GB2312" w:hAnsi="仿宋_GB2312" w:eastAsia="仿宋_GB2312" w:cs="仿宋_GB2312"/>
          <w:color w:val="000000"/>
          <w:kern w:val="0"/>
          <w:sz w:val="32"/>
          <w:szCs w:val="32"/>
          <w:lang w:val="en-US" w:eastAsia="zh-CN"/>
        </w:rPr>
        <w:t>13.56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lang w:val="en-US" w:eastAsia="zh-CN"/>
        </w:rPr>
        <w:t>40</w:t>
      </w:r>
      <w:r>
        <w:rPr>
          <w:rFonts w:hint="eastAsia" w:ascii="仿宋_GB2312" w:hAnsi="仿宋_GB2312" w:eastAsia="仿宋_GB2312" w:cs="仿宋_GB2312"/>
          <w:color w:val="000000"/>
          <w:kern w:val="0"/>
          <w:sz w:val="32"/>
          <w:szCs w:val="32"/>
        </w:rPr>
        <w:t>%，比上年减少</w:t>
      </w:r>
      <w:r>
        <w:rPr>
          <w:rFonts w:hint="eastAsia" w:ascii="仿宋_GB2312" w:hAnsi="仿宋_GB2312" w:eastAsia="仿宋_GB2312" w:cs="仿宋_GB2312"/>
          <w:color w:val="000000"/>
          <w:kern w:val="0"/>
          <w:sz w:val="32"/>
          <w:szCs w:val="32"/>
          <w:lang w:val="en-US" w:eastAsia="zh-CN"/>
        </w:rPr>
        <w:t>18.34</w:t>
      </w:r>
      <w:r>
        <w:rPr>
          <w:rFonts w:hint="eastAsia" w:ascii="仿宋_GB2312" w:hAnsi="仿宋_GB2312" w:eastAsia="仿宋_GB2312" w:cs="仿宋_GB2312"/>
          <w:color w:val="000000"/>
          <w:kern w:val="0"/>
          <w:sz w:val="32"/>
          <w:szCs w:val="32"/>
        </w:rPr>
        <w:t>万元，降低</w:t>
      </w:r>
      <w:r>
        <w:rPr>
          <w:rFonts w:hint="eastAsia" w:ascii="仿宋_GB2312" w:hAnsi="仿宋_GB2312" w:eastAsia="仿宋_GB2312" w:cs="仿宋_GB2312"/>
          <w:color w:val="000000"/>
          <w:kern w:val="0"/>
          <w:sz w:val="32"/>
          <w:szCs w:val="32"/>
          <w:lang w:val="en-US" w:eastAsia="zh-CN"/>
        </w:rPr>
        <w:t>57.5</w:t>
      </w:r>
      <w:r>
        <w:rPr>
          <w:rFonts w:hint="eastAsia" w:ascii="仿宋_GB2312" w:hAnsi="仿宋_GB2312" w:eastAsia="仿宋_GB2312" w:cs="仿宋_GB2312"/>
          <w:color w:val="000000"/>
          <w:kern w:val="0"/>
          <w:sz w:val="32"/>
          <w:szCs w:val="32"/>
        </w:rPr>
        <w:t>%，减少原因是2018年团场改革，严格控制了公务接待的人次。具体情况如下：</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因公出国（境）费0万元。201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年度单位全年使用一般公共预算财政拨款安排的出国（境）团组0个，累计0人次。</w:t>
      </w:r>
    </w:p>
    <w:p>
      <w:pPr>
        <w:widowControl/>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公务用车购置及运行维护费</w:t>
      </w:r>
      <w:r>
        <w:rPr>
          <w:rFonts w:hint="eastAsia" w:ascii="仿宋_GB2312" w:hAnsi="仿宋_GB2312" w:eastAsia="仿宋_GB2312" w:cs="仿宋_GB2312"/>
          <w:color w:val="000000"/>
          <w:kern w:val="0"/>
          <w:sz w:val="32"/>
          <w:szCs w:val="32"/>
          <w:lang w:val="en-US" w:eastAsia="zh-CN"/>
        </w:rPr>
        <w:t>20.30</w:t>
      </w:r>
      <w:r>
        <w:rPr>
          <w:rFonts w:hint="eastAsia" w:ascii="仿宋_GB2312" w:hAnsi="仿宋_GB2312" w:eastAsia="仿宋_GB2312" w:cs="仿宋_GB2312"/>
          <w:color w:val="000000"/>
          <w:kern w:val="0"/>
          <w:sz w:val="32"/>
          <w:szCs w:val="32"/>
        </w:rPr>
        <w:t>万元,其中，公务用车购置0万元，公务用车运行维护费</w:t>
      </w:r>
      <w:r>
        <w:rPr>
          <w:rFonts w:hint="eastAsia" w:ascii="仿宋_GB2312" w:hAnsi="仿宋_GB2312" w:eastAsia="仿宋_GB2312" w:cs="仿宋_GB2312"/>
          <w:color w:val="000000"/>
          <w:kern w:val="0"/>
          <w:sz w:val="32"/>
          <w:szCs w:val="32"/>
          <w:lang w:val="en-US" w:eastAsia="zh-CN"/>
        </w:rPr>
        <w:t>20.3</w:t>
      </w:r>
      <w:r>
        <w:rPr>
          <w:rFonts w:hint="eastAsia" w:ascii="仿宋_GB2312" w:hAnsi="仿宋_GB2312" w:eastAsia="仿宋_GB2312" w:cs="仿宋_GB2312"/>
          <w:color w:val="000000"/>
          <w:kern w:val="0"/>
          <w:sz w:val="32"/>
          <w:szCs w:val="32"/>
        </w:rPr>
        <w:t>万元。主要用于公务用车的日常开支。201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年，单位一般公共财政拨款安排的公务用车购置量0辆，保有量为0辆。</w:t>
      </w:r>
    </w:p>
    <w:p>
      <w:pPr>
        <w:widowControl/>
        <w:ind w:firstLine="640" w:firstLineChars="200"/>
        <w:rPr>
          <w:rFonts w:ascii="仿宋_GB2312" w:hAnsi="仿宋_GB2312" w:eastAsia="仿宋_GB2312" w:cs="仿宋_GB2312"/>
          <w:color w:val="000000"/>
          <w:kern w:val="0"/>
          <w:sz w:val="32"/>
          <w:szCs w:val="32"/>
          <w:highlight w:val="darkGray"/>
        </w:rPr>
      </w:pPr>
      <w:r>
        <w:rPr>
          <w:rFonts w:hint="eastAsia" w:ascii="仿宋_GB2312" w:hAnsi="仿宋_GB2312" w:eastAsia="仿宋_GB2312" w:cs="仿宋_GB2312"/>
          <w:color w:val="000000"/>
          <w:kern w:val="0"/>
          <w:sz w:val="32"/>
          <w:szCs w:val="32"/>
        </w:rPr>
        <w:t>公务接待费</w:t>
      </w:r>
      <w:r>
        <w:rPr>
          <w:rFonts w:hint="eastAsia" w:ascii="仿宋_GB2312" w:hAnsi="仿宋_GB2312" w:eastAsia="仿宋_GB2312" w:cs="仿宋_GB2312"/>
          <w:color w:val="000000"/>
          <w:kern w:val="0"/>
          <w:sz w:val="32"/>
          <w:szCs w:val="32"/>
          <w:lang w:val="en-US" w:eastAsia="zh-CN"/>
        </w:rPr>
        <w:t>13.56</w:t>
      </w:r>
      <w:r>
        <w:rPr>
          <w:rFonts w:hint="eastAsia" w:ascii="仿宋_GB2312" w:hAnsi="仿宋_GB2312" w:eastAsia="仿宋_GB2312" w:cs="仿宋_GB2312"/>
          <w:color w:val="000000"/>
          <w:kern w:val="0"/>
          <w:sz w:val="32"/>
          <w:szCs w:val="32"/>
        </w:rPr>
        <w:t>万元。具体是：国内公务接待</w:t>
      </w:r>
      <w:r>
        <w:rPr>
          <w:rFonts w:hint="eastAsia" w:ascii="仿宋_GB2312" w:hAnsi="仿宋_GB2312" w:eastAsia="仿宋_GB2312" w:cs="仿宋_GB2312"/>
          <w:color w:val="000000"/>
          <w:kern w:val="0"/>
          <w:sz w:val="32"/>
          <w:szCs w:val="32"/>
          <w:lang w:val="en-US" w:eastAsia="zh-CN"/>
        </w:rPr>
        <w:t>13.56</w:t>
      </w:r>
      <w:r>
        <w:rPr>
          <w:rFonts w:hint="eastAsia" w:ascii="仿宋_GB2312" w:hAnsi="仿宋_GB2312" w:eastAsia="仿宋_GB2312" w:cs="仿宋_GB2312"/>
          <w:color w:val="000000"/>
          <w:kern w:val="0"/>
          <w:sz w:val="32"/>
          <w:szCs w:val="32"/>
        </w:rPr>
        <w:t>万元，主要是接待外来检查和各种项目验收等。我单位国内</w:t>
      </w:r>
      <w:r>
        <w:rPr>
          <w:rFonts w:hint="eastAsia" w:ascii="仿宋_GB2312" w:hAnsi="仿宋_GB2312" w:eastAsia="仿宋_GB2312" w:cs="仿宋_GB2312"/>
          <w:color w:val="000000"/>
          <w:kern w:val="0"/>
          <w:sz w:val="32"/>
          <w:szCs w:val="32"/>
          <w:highlight w:val="darkGray"/>
        </w:rPr>
        <w:t>公务接待670批次，5340人次。</w:t>
      </w:r>
    </w:p>
    <w:p>
      <w:pPr>
        <w:widowControl/>
        <w:ind w:firstLine="640" w:firstLineChars="200"/>
        <w:rPr>
          <w:rFonts w:ascii="楷体_GB2312" w:hAnsi="楷体_GB2312" w:eastAsia="楷体_GB2312" w:cs="楷体_GB2312"/>
          <w:color w:val="000000"/>
          <w:kern w:val="0"/>
          <w:sz w:val="32"/>
          <w:szCs w:val="32"/>
        </w:rPr>
      </w:pPr>
      <w:r>
        <w:rPr>
          <w:rFonts w:hint="eastAsia" w:ascii="仿宋_GB2312" w:hAnsi="仿宋_GB2312" w:eastAsia="仿宋_GB2312" w:cs="仿宋_GB2312"/>
          <w:color w:val="000000"/>
          <w:kern w:val="0"/>
          <w:sz w:val="32"/>
          <w:szCs w:val="32"/>
        </w:rPr>
        <w:t>与年初预算数相比情况：一般公共预算“三公”经费支出年初预算数30.36万元，决算数</w:t>
      </w:r>
      <w:r>
        <w:rPr>
          <w:rFonts w:hint="eastAsia" w:ascii="仿宋_GB2312" w:hAnsi="仿宋_GB2312" w:eastAsia="仿宋_GB2312" w:cs="仿宋_GB2312"/>
          <w:color w:val="000000"/>
          <w:kern w:val="0"/>
          <w:sz w:val="32"/>
          <w:szCs w:val="32"/>
          <w:lang w:val="en-US" w:eastAsia="zh-CN"/>
        </w:rPr>
        <w:t>33.86</w:t>
      </w:r>
      <w:r>
        <w:rPr>
          <w:rFonts w:hint="eastAsia" w:ascii="仿宋_GB2312" w:hAnsi="仿宋_GB2312" w:eastAsia="仿宋_GB2312" w:cs="仿宋_GB2312"/>
          <w:color w:val="000000"/>
          <w:kern w:val="0"/>
          <w:sz w:val="32"/>
          <w:szCs w:val="32"/>
        </w:rPr>
        <w:t>万元，预决算差异率</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差异主要原因是按照只减不增的原则，今年严格管控了是三公经费的支出，故有点差异。其中：因公出国(境)费预算数0万元，决算数0万元，预决算差异率0%；公务用车购置预算数0万元，决算数0万元，预决算差异率0%；公务车运行费预算数16.9万元，决算数</w:t>
      </w:r>
      <w:r>
        <w:rPr>
          <w:rFonts w:hint="eastAsia" w:ascii="仿宋_GB2312" w:hAnsi="仿宋_GB2312" w:eastAsia="仿宋_GB2312" w:cs="仿宋_GB2312"/>
          <w:color w:val="000000"/>
          <w:kern w:val="0"/>
          <w:sz w:val="32"/>
          <w:szCs w:val="32"/>
          <w:lang w:val="en-US" w:eastAsia="zh-CN"/>
        </w:rPr>
        <w:t>20.3</w:t>
      </w:r>
      <w:r>
        <w:rPr>
          <w:rFonts w:hint="eastAsia" w:ascii="仿宋_GB2312" w:hAnsi="仿宋_GB2312" w:eastAsia="仿宋_GB2312" w:cs="仿宋_GB2312"/>
          <w:color w:val="000000"/>
          <w:kern w:val="0"/>
          <w:sz w:val="32"/>
          <w:szCs w:val="32"/>
        </w:rPr>
        <w:t>万元，预决算差异率</w:t>
      </w:r>
      <w:r>
        <w:rPr>
          <w:rFonts w:hint="eastAsia" w:ascii="仿宋_GB2312" w:hAnsi="仿宋_GB2312" w:eastAsia="仿宋_GB2312" w:cs="仿宋_GB2312"/>
          <w:color w:val="000000"/>
          <w:kern w:val="0"/>
          <w:sz w:val="32"/>
          <w:szCs w:val="32"/>
          <w:lang w:val="en-US" w:eastAsia="zh-CN"/>
        </w:rPr>
        <w:t>16.75</w:t>
      </w:r>
      <w:r>
        <w:rPr>
          <w:rFonts w:hint="eastAsia" w:ascii="仿宋_GB2312" w:hAnsi="仿宋_GB2312" w:eastAsia="仿宋_GB2312" w:cs="仿宋_GB2312"/>
          <w:color w:val="000000"/>
          <w:kern w:val="0"/>
          <w:sz w:val="32"/>
          <w:szCs w:val="32"/>
        </w:rPr>
        <w:t>%，差异主要原因是按照只减不增的原则，今年严格管控了是三公经费的支出，故有点差异；公务接待费预算数13.46万元，决算数</w:t>
      </w:r>
      <w:r>
        <w:rPr>
          <w:rFonts w:hint="eastAsia" w:ascii="仿宋_GB2312" w:hAnsi="仿宋_GB2312" w:eastAsia="仿宋_GB2312" w:cs="仿宋_GB2312"/>
          <w:color w:val="000000"/>
          <w:kern w:val="0"/>
          <w:sz w:val="32"/>
          <w:szCs w:val="32"/>
          <w:lang w:val="en-US" w:eastAsia="zh-CN"/>
        </w:rPr>
        <w:t>13.56</w:t>
      </w:r>
      <w:r>
        <w:rPr>
          <w:rFonts w:hint="eastAsia" w:ascii="仿宋_GB2312" w:hAnsi="仿宋_GB2312" w:eastAsia="仿宋_GB2312" w:cs="仿宋_GB2312"/>
          <w:color w:val="000000"/>
          <w:kern w:val="0"/>
          <w:sz w:val="32"/>
          <w:szCs w:val="32"/>
        </w:rPr>
        <w:t>万元，预决算差异率0.00</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%，差异主要原因是按照只减不增的原则，今年严格管控了是三公经费的支出，故有点差异；</w:t>
      </w:r>
    </w:p>
    <w:p>
      <w:pPr>
        <w:widowControl/>
        <w:numPr>
          <w:ilvl w:val="0"/>
          <w:numId w:val="6"/>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机关运行经费支出情况</w:t>
      </w:r>
    </w:p>
    <w:p>
      <w:pPr>
        <w:widowControl/>
        <w:ind w:firstLine="960" w:firstLineChars="300"/>
        <w:rPr>
          <w:rFonts w:ascii="楷体_GB2312" w:hAnsi="楷体_GB2312" w:eastAsia="楷体_GB2312" w:cs="楷体_GB2312"/>
          <w:color w:val="000000"/>
          <w:kern w:val="0"/>
          <w:sz w:val="32"/>
          <w:szCs w:val="32"/>
        </w:rPr>
      </w:pP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年度24团机关运行经费支出</w:t>
      </w:r>
      <w:r>
        <w:rPr>
          <w:rFonts w:hint="eastAsia" w:ascii="仿宋_GB2312" w:hAnsi="仿宋_GB2312" w:eastAsia="仿宋_GB2312" w:cs="仿宋_GB2312"/>
          <w:color w:val="000000"/>
          <w:kern w:val="0"/>
          <w:sz w:val="32"/>
          <w:szCs w:val="32"/>
          <w:lang w:val="en-US" w:eastAsia="zh-CN"/>
        </w:rPr>
        <w:t>458.16</w:t>
      </w:r>
      <w:r>
        <w:rPr>
          <w:rFonts w:hint="eastAsia" w:ascii="仿宋_GB2312" w:hAnsi="仿宋_GB2312" w:eastAsia="仿宋_GB2312" w:cs="仿宋_GB2312"/>
          <w:color w:val="000000"/>
          <w:kern w:val="0"/>
          <w:sz w:val="32"/>
          <w:szCs w:val="32"/>
        </w:rPr>
        <w:t>万元，比上年增加</w:t>
      </w:r>
      <w:r>
        <w:rPr>
          <w:rFonts w:hint="eastAsia" w:ascii="仿宋_GB2312" w:hAnsi="仿宋_GB2312" w:eastAsia="仿宋_GB2312" w:cs="仿宋_GB2312"/>
          <w:color w:val="000000"/>
          <w:kern w:val="0"/>
          <w:sz w:val="32"/>
          <w:szCs w:val="32"/>
          <w:lang w:val="en-US" w:eastAsia="zh-CN"/>
        </w:rPr>
        <w:t>319.16</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lang w:val="en-US" w:eastAsia="zh-CN"/>
        </w:rPr>
        <w:t>2.3倍</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highlight w:val="darkGray"/>
        </w:rPr>
        <w:t>主要原因是由于近5年机关楼没有进行维修维护，近年改革维修（护）有所增长</w:t>
      </w:r>
      <w:r>
        <w:rPr>
          <w:rFonts w:hint="eastAsia" w:ascii="仿宋_GB2312" w:hAnsi="仿宋_GB2312" w:eastAsia="仿宋_GB2312" w:cs="仿宋_GB2312"/>
          <w:color w:val="000000"/>
          <w:kern w:val="0"/>
          <w:sz w:val="32"/>
          <w:szCs w:val="32"/>
        </w:rPr>
        <w:t>。</w:t>
      </w:r>
    </w:p>
    <w:p>
      <w:pPr>
        <w:widowControl/>
        <w:numPr>
          <w:ilvl w:val="0"/>
          <w:numId w:val="6"/>
        </w:numPr>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政府采购情况</w:t>
      </w:r>
    </w:p>
    <w:p>
      <w:pPr>
        <w:widowControl/>
        <w:ind w:firstLine="640" w:firstLineChars="200"/>
        <w:rPr>
          <w:rFonts w:ascii="楷体_GB2312" w:hAnsi="楷体_GB2312" w:eastAsia="楷体_GB2312" w:cs="楷体_GB2312"/>
          <w:color w:val="000000"/>
          <w:kern w:val="0"/>
          <w:sz w:val="32"/>
          <w:szCs w:val="32"/>
          <w:highlight w:val="darkGray"/>
        </w:rPr>
      </w:pPr>
      <w:r>
        <w:rPr>
          <w:rFonts w:hint="eastAsia" w:ascii="仿宋_GB2312" w:hAnsi="仿宋_GB2312" w:eastAsia="仿宋_GB2312" w:cs="仿宋_GB2312"/>
          <w:color w:val="000000"/>
          <w:kern w:val="0"/>
          <w:sz w:val="32"/>
          <w:szCs w:val="32"/>
          <w:highlight w:val="darkGray"/>
        </w:rPr>
        <w:t>201</w:t>
      </w:r>
      <w:r>
        <w:rPr>
          <w:rFonts w:hint="eastAsia" w:ascii="仿宋_GB2312" w:hAnsi="仿宋_GB2312" w:eastAsia="仿宋_GB2312" w:cs="仿宋_GB2312"/>
          <w:color w:val="000000"/>
          <w:kern w:val="0"/>
          <w:sz w:val="32"/>
          <w:szCs w:val="32"/>
          <w:highlight w:val="darkGray"/>
          <w:lang w:val="en-US" w:eastAsia="zh-CN"/>
        </w:rPr>
        <w:t>9</w:t>
      </w:r>
      <w:r>
        <w:rPr>
          <w:rFonts w:hint="eastAsia" w:ascii="仿宋_GB2312" w:hAnsi="仿宋_GB2312" w:eastAsia="仿宋_GB2312" w:cs="仿宋_GB2312"/>
          <w:color w:val="000000"/>
          <w:kern w:val="0"/>
          <w:sz w:val="32"/>
          <w:szCs w:val="32"/>
          <w:highlight w:val="darkGray"/>
        </w:rPr>
        <w:t>年度政府采购支出总额17.07万元，其中：政府采购货物支出17.07万元、政府采购工程支出0万元、政府采购服务支出0万元。</w:t>
      </w:r>
    </w:p>
    <w:p>
      <w:pPr>
        <w:widowControl/>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七、国有资产占用情况说明</w:t>
      </w:r>
    </w:p>
    <w:p>
      <w:pPr>
        <w:widowControl/>
        <w:ind w:firstLine="640" w:firstLineChars="200"/>
        <w:rPr>
          <w:rFonts w:ascii="仿宋_GB2312" w:hAnsi="仿宋_GB2312" w:eastAsia="仿宋_GB2312" w:cs="仿宋_GB2312"/>
          <w:color w:val="000000"/>
          <w:kern w:val="0"/>
          <w:sz w:val="32"/>
          <w:szCs w:val="32"/>
          <w:highlight w:val="darkGray"/>
        </w:rPr>
      </w:pPr>
      <w:r>
        <w:rPr>
          <w:rFonts w:hint="eastAsia" w:ascii="仿宋_GB2312" w:hAnsi="仿宋_GB2312" w:eastAsia="仿宋_GB2312" w:cs="仿宋_GB2312"/>
          <w:color w:val="000000"/>
          <w:kern w:val="0"/>
          <w:sz w:val="32"/>
          <w:szCs w:val="32"/>
          <w:highlight w:val="darkGray"/>
        </w:rPr>
        <w:t>截至201</w:t>
      </w:r>
      <w:r>
        <w:rPr>
          <w:rFonts w:hint="eastAsia" w:ascii="仿宋_GB2312" w:hAnsi="仿宋_GB2312" w:eastAsia="仿宋_GB2312" w:cs="仿宋_GB2312"/>
          <w:color w:val="000000"/>
          <w:kern w:val="0"/>
          <w:sz w:val="32"/>
          <w:szCs w:val="32"/>
          <w:highlight w:val="darkGray"/>
          <w:lang w:val="en-US" w:eastAsia="zh-CN"/>
        </w:rPr>
        <w:t>9</w:t>
      </w:r>
      <w:r>
        <w:rPr>
          <w:rFonts w:hint="eastAsia" w:ascii="仿宋_GB2312" w:hAnsi="仿宋_GB2312" w:eastAsia="仿宋_GB2312" w:cs="仿宋_GB2312"/>
          <w:color w:val="000000"/>
          <w:kern w:val="0"/>
          <w:sz w:val="32"/>
          <w:szCs w:val="32"/>
          <w:highlight w:val="darkGray"/>
        </w:rPr>
        <w:t>年12月31日，单位共有车辆7辆，价值77.46 万元，其中：部级领导干部用车0辆、一般公务用车用车7辆、一般执法执勤用车0辆、特种专业技术用车0辆、其他用车7辆，其他用车主要是：日常公务用车。单位价值50万元以上通用设备0台（套）、单位价值100万元以上专用设备0台（套）。</w:t>
      </w:r>
    </w:p>
    <w:p>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第四部分 专业名词解释</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财政拨款收入：</w:t>
      </w:r>
      <w:r>
        <w:rPr>
          <w:rFonts w:hint="eastAsia" w:ascii="仿宋_GB2312" w:hAnsi="仿宋_GB2312" w:eastAsia="仿宋_GB2312" w:cs="仿宋_GB2312"/>
          <w:sz w:val="32"/>
          <w:szCs w:val="32"/>
        </w:rPr>
        <w:t>指同级财政当年拨付的资金。</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上级补助收入：</w:t>
      </w:r>
      <w:r>
        <w:rPr>
          <w:rFonts w:hint="eastAsia" w:ascii="仿宋_GB2312" w:hAnsi="仿宋_GB2312" w:eastAsia="仿宋_GB2312" w:cs="仿宋_GB2312"/>
          <w:sz w:val="32"/>
          <w:szCs w:val="32"/>
        </w:rPr>
        <w:t>指事业单位从主管部门和上级单位取得的非财政补助收入。</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事业收入：</w:t>
      </w:r>
      <w:r>
        <w:rPr>
          <w:rFonts w:hint="eastAsia" w:ascii="仿宋_GB2312" w:hAnsi="仿宋_GB2312" w:eastAsia="仿宋_GB2312" w:cs="仿宋_GB2312"/>
          <w:sz w:val="32"/>
          <w:szCs w:val="32"/>
        </w:rPr>
        <w:t>指事业单位开展专业业务活动及其辅助活动所取得的收入。</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附属单位上缴收入：</w:t>
      </w:r>
      <w:r>
        <w:rPr>
          <w:rFonts w:hint="eastAsia" w:ascii="仿宋_GB2312" w:hAnsi="仿宋_GB2312" w:eastAsia="仿宋_GB2312" w:cs="仿宋_GB2312"/>
          <w:sz w:val="32"/>
          <w:szCs w:val="32"/>
        </w:rPr>
        <w:t>指事业单位附属的独立核算单位按有关规定上缴的收入。</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其他收入：</w:t>
      </w:r>
      <w:r>
        <w:rPr>
          <w:rFonts w:hint="eastAsia" w:ascii="仿宋_GB2312" w:hAnsi="仿宋_GB2312" w:eastAsia="仿宋_GB2312" w:cs="仿宋_GB2312"/>
          <w:sz w:val="32"/>
          <w:szCs w:val="32"/>
        </w:rPr>
        <w:t>指除上述“财政拨款收入”、“事业收入”、“经营收入”、“附属单位上缴收入”等之外取得的收入。</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用事业基金弥补收支差额：</w:t>
      </w:r>
      <w:r>
        <w:rPr>
          <w:rFonts w:hint="eastAsia" w:ascii="仿宋_GB2312" w:hAnsi="仿宋_GB2312" w:eastAsia="仿宋_GB2312" w:cs="仿宋_GB2312"/>
          <w:sz w:val="32"/>
          <w:szCs w:val="32"/>
        </w:rPr>
        <w:t>指事业单位在当年的“财政拨款收入”、“财政拨款结转和结余资金”、“事业收入”、“事业单位经营收入”、“其他收入”不足以安排当年的情况下，使用以前年度积累的事业基金（即事业单位当年收支相抵后按国家规定提取、用于弥补以后年度收支差额的基金）弥补本年度收支缺口的资金。</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上年结转和结余：</w:t>
      </w:r>
      <w:r>
        <w:rPr>
          <w:rFonts w:hint="eastAsia" w:ascii="仿宋_GB2312" w:hAnsi="仿宋_GB2312" w:eastAsia="仿宋_GB2312" w:cs="仿宋_GB2312"/>
          <w:sz w:val="32"/>
          <w:szCs w:val="32"/>
        </w:rPr>
        <w:t>指以前年度预算因客观条件变化未执行完毕、结转到本年度按有关规定继续使用的资金，既包括财政拨款结转和结余，也包括事业收入、经营收入、其他收入的结转和结余。</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结余分配：</w:t>
      </w:r>
      <w:r>
        <w:rPr>
          <w:rFonts w:hint="eastAsia" w:ascii="仿宋_GB2312" w:hAnsi="仿宋_GB2312" w:eastAsia="仿宋_GB2312" w:cs="仿宋_GB2312"/>
          <w:sz w:val="32"/>
          <w:szCs w:val="32"/>
        </w:rPr>
        <w:t>反映单位当年结余的分配情况。</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年末结转和结余：</w:t>
      </w:r>
      <w:r>
        <w:rPr>
          <w:rFonts w:hint="eastAsia" w:ascii="仿宋_GB2312" w:hAnsi="仿宋_GB2312" w:eastAsia="仿宋_GB2312" w:cs="仿宋_GB2312"/>
          <w:sz w:val="32"/>
          <w:szCs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基本支出：</w:t>
      </w:r>
      <w:r>
        <w:rPr>
          <w:rFonts w:hint="eastAsia" w:ascii="仿宋_GB2312" w:hAnsi="仿宋_GB2312" w:eastAsia="仿宋_GB2312" w:cs="仿宋_GB2312"/>
          <w:sz w:val="32"/>
          <w:szCs w:val="32"/>
        </w:rPr>
        <w:t>指为保障机构正常运转、完成日常工作任务而发生的人员和公用。</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项目支出：</w:t>
      </w:r>
      <w:r>
        <w:rPr>
          <w:rFonts w:hint="eastAsia" w:ascii="仿宋_GB2312" w:hAnsi="仿宋_GB2312" w:eastAsia="仿宋_GB2312" w:cs="仿宋_GB2312"/>
          <w:sz w:val="32"/>
          <w:szCs w:val="32"/>
        </w:rPr>
        <w:t>指在基本之外为完成特定行政任务和事业发展目标所发生的。</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经营支出：</w:t>
      </w:r>
      <w:r>
        <w:rPr>
          <w:rFonts w:hint="eastAsia" w:ascii="仿宋_GB2312" w:hAnsi="仿宋_GB2312" w:eastAsia="仿宋_GB2312" w:cs="仿宋_GB2312"/>
          <w:sz w:val="32"/>
          <w:szCs w:val="32"/>
        </w:rPr>
        <w:t>指事业单位在专业业务活动及其辅助活动之外开展非独立核算经营活动发生的。</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对附属单位补助支出：</w:t>
      </w:r>
      <w:r>
        <w:rPr>
          <w:rFonts w:hint="eastAsia" w:ascii="仿宋_GB2312" w:hAnsi="仿宋_GB2312" w:eastAsia="仿宋_GB2312" w:cs="仿宋_GB2312"/>
          <w:sz w:val="32"/>
          <w:szCs w:val="32"/>
        </w:rPr>
        <w:t>指事业单位发生的用非财政预算资金对附属单位的补助。</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“三公”经费：</w:t>
      </w:r>
      <w:r>
        <w:rPr>
          <w:rFonts w:hint="eastAsia" w:ascii="仿宋_GB2312" w:hAnsi="仿宋_GB2312" w:eastAsia="仿宋_GB2312" w:cs="仿宋_GB2312"/>
          <w:sz w:val="32"/>
          <w:szCs w:val="32"/>
        </w:rPr>
        <w:t>指用一般公共预算财政拨款安排的因公出国（境）费、公务用车购置及运行费和公务接待费。其中，因公出国（境）费反映单位公务出国（境）的住宿费、旅费、伙食补助费、杂费、培训费等；公务用车购置及运行费反映单位公务用车购置费及租用费、燃料费、维修费、过路过桥费、保险费、安全奖励费用等；公务接待费反映单位按规定开支的各类公务接待（含外宾接待）。</w:t>
      </w:r>
    </w:p>
    <w:p>
      <w:pPr>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本单位功能分类说明：</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2010301行政运行：机关基本运行经费</w:t>
      </w:r>
    </w:p>
    <w:p>
      <w:pPr>
        <w:rPr>
          <w:rFonts w:ascii="黑体" w:hAnsi="黑体" w:eastAsia="黑体" w:cs="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简体">
    <w:altName w:val="隶书"/>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posOffset>4626610</wp:posOffset>
              </wp:positionH>
              <wp:positionV relativeFrom="paragraph">
                <wp:posOffset>-182245</wp:posOffset>
              </wp:positionV>
              <wp:extent cx="857885" cy="3282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57885" cy="328295"/>
                      </a:xfrm>
                      <a:prstGeom prst="rect">
                        <a:avLst/>
                      </a:prstGeom>
                      <a:noFill/>
                      <a:ln w="6350">
                        <a:noFill/>
                      </a:ln>
                      <a:effectLst/>
                    </wps:spPr>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4.3pt;margin-top:-14.35pt;height:25.85pt;width:67.55pt;mso-position-horizontal-relative:margin;z-index:251661312;mso-width-relative:page;mso-height-relative:page;" filled="f" stroked="f" coordsize="21600,21600" o:gfxdata="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K&#10;WRSm2QAAAAoBAAAPAAAAAAAAAAEAIAAAACIAAABkcnMvZG93bnJldi54bWxQSwECFAAUAAAACACH&#10;TuJABZ4yOiMCAAAhBAAADgAAAAAAAAABACAAAAAoAQAAZHJzL2Uyb0RvYy54bWxQSwUGAAAAAAYA&#10;BgBZAQAAvQUAAAAA&#10;">
              <v:fill on="f" focussize="0,0"/>
              <v:stroke on="f" weight="0.5pt"/>
              <v:imagedata o:title=""/>
              <o:lock v:ext="edit" aspectratio="f"/>
              <v:textbox inset="0mm,0mm,0mm,0mm">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方正隶书简体" w:hAnsi="方正隶书简体" w:eastAsia="方正隶书简体" w:cs="方正隶书简体"/>
        <w:sz w:val="24"/>
      </w:rPr>
    </w:pPr>
    <w:r>
      <w:rPr>
        <w:rFonts w:hint="eastAsia" w:ascii="方正隶书简体" w:hAnsi="方正隶书简体" w:eastAsia="方正隶书简体" w:cs="方正隶书简体"/>
        <w:sz w:val="24"/>
      </w:rPr>
      <w:t>第二师铁门关市2018年度部门决算公开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D91DF"/>
    <w:multiLevelType w:val="singleLevel"/>
    <w:tmpl w:val="9D0D91DF"/>
    <w:lvl w:ilvl="0" w:tentative="0">
      <w:start w:val="2"/>
      <w:numFmt w:val="chineseCounting"/>
      <w:suff w:val="nothing"/>
      <w:lvlText w:val="（%1）"/>
      <w:lvlJc w:val="left"/>
      <w:rPr>
        <w:rFonts w:hint="eastAsia"/>
      </w:rPr>
    </w:lvl>
  </w:abstractNum>
  <w:abstractNum w:abstractNumId="1">
    <w:nsid w:val="C257DF7B"/>
    <w:multiLevelType w:val="singleLevel"/>
    <w:tmpl w:val="C257DF7B"/>
    <w:lvl w:ilvl="0" w:tentative="0">
      <w:start w:val="3"/>
      <w:numFmt w:val="chineseCounting"/>
      <w:suff w:val="nothing"/>
      <w:lvlText w:val="%1、"/>
      <w:lvlJc w:val="left"/>
      <w:rPr>
        <w:rFonts w:hint="eastAsia"/>
      </w:rPr>
    </w:lvl>
  </w:abstractNum>
  <w:abstractNum w:abstractNumId="2">
    <w:nsid w:val="ED4AF2FC"/>
    <w:multiLevelType w:val="singleLevel"/>
    <w:tmpl w:val="ED4AF2FC"/>
    <w:lvl w:ilvl="0" w:tentative="0">
      <w:start w:val="1"/>
      <w:numFmt w:val="chineseCounting"/>
      <w:suff w:val="nothing"/>
      <w:lvlText w:val="%1、"/>
      <w:lvlJc w:val="left"/>
      <w:rPr>
        <w:rFonts w:hint="eastAsia"/>
      </w:rPr>
    </w:lvl>
  </w:abstractNum>
  <w:abstractNum w:abstractNumId="3">
    <w:nsid w:val="FA8FE763"/>
    <w:multiLevelType w:val="singleLevel"/>
    <w:tmpl w:val="FA8FE763"/>
    <w:lvl w:ilvl="0" w:tentative="0">
      <w:start w:val="1"/>
      <w:numFmt w:val="chineseCounting"/>
      <w:suff w:val="nothing"/>
      <w:lvlText w:val="%1、"/>
      <w:lvlJc w:val="left"/>
      <w:rPr>
        <w:rFonts w:hint="eastAsia"/>
      </w:rPr>
    </w:lvl>
  </w:abstractNum>
  <w:abstractNum w:abstractNumId="4">
    <w:nsid w:val="1F2A5529"/>
    <w:multiLevelType w:val="singleLevel"/>
    <w:tmpl w:val="1F2A5529"/>
    <w:lvl w:ilvl="0" w:tentative="0">
      <w:start w:val="2"/>
      <w:numFmt w:val="chineseCounting"/>
      <w:suff w:val="nothing"/>
      <w:lvlText w:val="（%1）"/>
      <w:lvlJc w:val="left"/>
      <w:rPr>
        <w:rFonts w:hint="eastAsia"/>
      </w:rPr>
    </w:lvl>
  </w:abstractNum>
  <w:abstractNum w:abstractNumId="5">
    <w:nsid w:val="57620AA6"/>
    <w:multiLevelType w:val="singleLevel"/>
    <w:tmpl w:val="57620AA6"/>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E1"/>
    <w:rsid w:val="00032E93"/>
    <w:rsid w:val="00056C35"/>
    <w:rsid w:val="000702CF"/>
    <w:rsid w:val="00085285"/>
    <w:rsid w:val="000F13E4"/>
    <w:rsid w:val="000F612D"/>
    <w:rsid w:val="00163B90"/>
    <w:rsid w:val="00173814"/>
    <w:rsid w:val="002D66F2"/>
    <w:rsid w:val="002E532F"/>
    <w:rsid w:val="002E6C54"/>
    <w:rsid w:val="00300E53"/>
    <w:rsid w:val="00331D48"/>
    <w:rsid w:val="00365072"/>
    <w:rsid w:val="0038565D"/>
    <w:rsid w:val="003A2B32"/>
    <w:rsid w:val="003B659D"/>
    <w:rsid w:val="004F6D43"/>
    <w:rsid w:val="00514B6B"/>
    <w:rsid w:val="00542B04"/>
    <w:rsid w:val="005447A7"/>
    <w:rsid w:val="00546216"/>
    <w:rsid w:val="00551EE7"/>
    <w:rsid w:val="00583FB7"/>
    <w:rsid w:val="006578F2"/>
    <w:rsid w:val="006777F6"/>
    <w:rsid w:val="006B7312"/>
    <w:rsid w:val="00726C70"/>
    <w:rsid w:val="007F2F84"/>
    <w:rsid w:val="00851639"/>
    <w:rsid w:val="00853521"/>
    <w:rsid w:val="00853C6E"/>
    <w:rsid w:val="00861AA8"/>
    <w:rsid w:val="008D0DAD"/>
    <w:rsid w:val="0090616C"/>
    <w:rsid w:val="009A5546"/>
    <w:rsid w:val="009F2B1C"/>
    <w:rsid w:val="00AA0DAD"/>
    <w:rsid w:val="00AB645C"/>
    <w:rsid w:val="00AC401D"/>
    <w:rsid w:val="00B01BB8"/>
    <w:rsid w:val="00B743B1"/>
    <w:rsid w:val="00B93770"/>
    <w:rsid w:val="00BD0420"/>
    <w:rsid w:val="00BE6ADB"/>
    <w:rsid w:val="00C06C57"/>
    <w:rsid w:val="00C213DF"/>
    <w:rsid w:val="00C3257A"/>
    <w:rsid w:val="00C515F0"/>
    <w:rsid w:val="00C54D08"/>
    <w:rsid w:val="00C60A20"/>
    <w:rsid w:val="00C67BCB"/>
    <w:rsid w:val="00C72125"/>
    <w:rsid w:val="00CA57E1"/>
    <w:rsid w:val="00CA6847"/>
    <w:rsid w:val="00CD55AC"/>
    <w:rsid w:val="00D10D0B"/>
    <w:rsid w:val="00D13ED7"/>
    <w:rsid w:val="00DC67BC"/>
    <w:rsid w:val="00DF26F8"/>
    <w:rsid w:val="00E57310"/>
    <w:rsid w:val="00F436AE"/>
    <w:rsid w:val="00FC2C7F"/>
    <w:rsid w:val="00FD1224"/>
    <w:rsid w:val="00FD3B5A"/>
    <w:rsid w:val="02443551"/>
    <w:rsid w:val="02735244"/>
    <w:rsid w:val="02C34828"/>
    <w:rsid w:val="02E90C09"/>
    <w:rsid w:val="03BF6F2A"/>
    <w:rsid w:val="043C5E4E"/>
    <w:rsid w:val="0D6E4997"/>
    <w:rsid w:val="0ECD2ABF"/>
    <w:rsid w:val="11B37BF2"/>
    <w:rsid w:val="14147FD6"/>
    <w:rsid w:val="14CA621F"/>
    <w:rsid w:val="16B30DB9"/>
    <w:rsid w:val="172266DF"/>
    <w:rsid w:val="18E55C36"/>
    <w:rsid w:val="18EF472D"/>
    <w:rsid w:val="1D4C06C5"/>
    <w:rsid w:val="1E494A0D"/>
    <w:rsid w:val="1FAA42AD"/>
    <w:rsid w:val="1FED2ABB"/>
    <w:rsid w:val="255B540A"/>
    <w:rsid w:val="25732E4D"/>
    <w:rsid w:val="279D7F2D"/>
    <w:rsid w:val="28AD076D"/>
    <w:rsid w:val="29576C52"/>
    <w:rsid w:val="29724C09"/>
    <w:rsid w:val="2985522F"/>
    <w:rsid w:val="2CDF3BA8"/>
    <w:rsid w:val="2EE72B20"/>
    <w:rsid w:val="34D066D8"/>
    <w:rsid w:val="36555E52"/>
    <w:rsid w:val="36F94A07"/>
    <w:rsid w:val="37740AA9"/>
    <w:rsid w:val="39AD4175"/>
    <w:rsid w:val="3EB47D45"/>
    <w:rsid w:val="3F0E6A16"/>
    <w:rsid w:val="40E56923"/>
    <w:rsid w:val="41791AB5"/>
    <w:rsid w:val="41EB014C"/>
    <w:rsid w:val="42D72FD5"/>
    <w:rsid w:val="43C77CB8"/>
    <w:rsid w:val="449525FA"/>
    <w:rsid w:val="46AF1A92"/>
    <w:rsid w:val="47894D54"/>
    <w:rsid w:val="4A2A4F93"/>
    <w:rsid w:val="4B513EC7"/>
    <w:rsid w:val="4BE83A21"/>
    <w:rsid w:val="4C4208D1"/>
    <w:rsid w:val="4DC25452"/>
    <w:rsid w:val="4DE366C7"/>
    <w:rsid w:val="4F08617C"/>
    <w:rsid w:val="520702A6"/>
    <w:rsid w:val="52357FF8"/>
    <w:rsid w:val="52822986"/>
    <w:rsid w:val="52824FA2"/>
    <w:rsid w:val="53235561"/>
    <w:rsid w:val="58575257"/>
    <w:rsid w:val="596118FF"/>
    <w:rsid w:val="5DAE1975"/>
    <w:rsid w:val="5EFD29FD"/>
    <w:rsid w:val="5F1E2D3C"/>
    <w:rsid w:val="60840E05"/>
    <w:rsid w:val="61CD30B6"/>
    <w:rsid w:val="63102525"/>
    <w:rsid w:val="64291356"/>
    <w:rsid w:val="64F76512"/>
    <w:rsid w:val="65733E7B"/>
    <w:rsid w:val="663E10B5"/>
    <w:rsid w:val="681B6EB0"/>
    <w:rsid w:val="6A9E092B"/>
    <w:rsid w:val="6CB84B14"/>
    <w:rsid w:val="6E1B2541"/>
    <w:rsid w:val="6FEA28A9"/>
    <w:rsid w:val="713B4813"/>
    <w:rsid w:val="720E7556"/>
    <w:rsid w:val="72640189"/>
    <w:rsid w:val="72AA3B6A"/>
    <w:rsid w:val="75A70985"/>
    <w:rsid w:val="75C40FF3"/>
    <w:rsid w:val="763F6360"/>
    <w:rsid w:val="787A4EDF"/>
    <w:rsid w:val="788925D4"/>
    <w:rsid w:val="7E4347BD"/>
    <w:rsid w:val="7E763053"/>
    <w:rsid w:val="7E8C46FD"/>
    <w:rsid w:val="7F347705"/>
    <w:rsid w:val="7FB0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11"/>
    <w:basedOn w:val="6"/>
    <w:qFormat/>
    <w:uiPriority w:val="0"/>
    <w:rPr>
      <w:rFonts w:hint="eastAsia" w:ascii="宋体" w:hAnsi="宋体" w:eastAsia="宋体" w:cs="宋体"/>
      <w:color w:val="000000"/>
      <w:sz w:val="20"/>
      <w:szCs w:val="20"/>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909C05-84F8-428F-8CEF-838F292F7B64}">
  <ds:schemaRefs/>
</ds:datastoreItem>
</file>

<file path=docProps/app.xml><?xml version="1.0" encoding="utf-8"?>
<Properties xmlns="http://schemas.openxmlformats.org/officeDocument/2006/extended-properties" xmlns:vt="http://schemas.openxmlformats.org/officeDocument/2006/docPropsVTypes">
  <Template>Normal</Template>
  <Pages>23</Pages>
  <Words>1492</Words>
  <Characters>8506</Characters>
  <Lines>70</Lines>
  <Paragraphs>19</Paragraphs>
  <TotalTime>31</TotalTime>
  <ScaleCrop>false</ScaleCrop>
  <LinksUpToDate>false</LinksUpToDate>
  <CharactersWithSpaces>9979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lixinmin</cp:lastModifiedBy>
  <cp:lastPrinted>2020-10-16T02:52:00Z</cp:lastPrinted>
  <dcterms:modified xsi:type="dcterms:W3CDTF">2020-10-31T04:55:26Z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